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BD529" w14:textId="60767B89" w:rsidR="002E270E" w:rsidRPr="005D335F" w:rsidRDefault="002E270E" w:rsidP="002E270E">
      <w:pPr>
        <w:autoSpaceDE w:val="0"/>
        <w:autoSpaceDN w:val="0"/>
        <w:adjustRightInd w:val="0"/>
        <w:spacing w:before="60"/>
        <w:jc w:val="center"/>
        <w:rPr>
          <w:rFonts w:asciiTheme="majorHAnsi" w:hAnsiTheme="majorHAnsi" w:cs="Arial"/>
          <w:b/>
          <w:sz w:val="32"/>
          <w:szCs w:val="32"/>
          <w:lang w:val="pt-BR"/>
        </w:rPr>
      </w:pPr>
      <w:bookmarkStart w:id="0" w:name="_Toc377378554"/>
      <w:r>
        <w:rPr>
          <w:b/>
          <w:sz w:val="32"/>
          <w:lang w:val="pt-BR"/>
        </w:rPr>
        <w:t>Formas</w:t>
      </w:r>
      <w:r w:rsidRPr="005D335F">
        <w:rPr>
          <w:b/>
          <w:sz w:val="32"/>
          <w:lang w:val="pt-BR"/>
        </w:rPr>
        <w:t xml:space="preserve"> e arranjos de </w:t>
      </w:r>
      <w:r>
        <w:rPr>
          <w:b/>
          <w:sz w:val="32"/>
          <w:lang w:val="pt-BR"/>
        </w:rPr>
        <w:t>R</w:t>
      </w:r>
      <w:r w:rsidRPr="005D335F">
        <w:rPr>
          <w:b/>
          <w:sz w:val="32"/>
          <w:lang w:val="pt-BR"/>
        </w:rPr>
        <w:t xml:space="preserve">emuneração e </w:t>
      </w:r>
      <w:r>
        <w:rPr>
          <w:b/>
          <w:sz w:val="32"/>
          <w:lang w:val="pt-BR"/>
        </w:rPr>
        <w:t>C</w:t>
      </w:r>
      <w:r w:rsidRPr="005D335F">
        <w:rPr>
          <w:b/>
          <w:sz w:val="32"/>
          <w:lang w:val="pt-BR"/>
        </w:rPr>
        <w:t xml:space="preserve">onflitos de </w:t>
      </w:r>
      <w:r>
        <w:rPr>
          <w:b/>
          <w:sz w:val="32"/>
          <w:lang w:val="pt-BR"/>
        </w:rPr>
        <w:t>I</w:t>
      </w:r>
      <w:r w:rsidRPr="005D335F">
        <w:rPr>
          <w:b/>
          <w:sz w:val="32"/>
          <w:lang w:val="pt-BR"/>
        </w:rPr>
        <w:t>nteresse</w:t>
      </w:r>
      <w:r>
        <w:rPr>
          <w:b/>
          <w:sz w:val="32"/>
          <w:lang w:val="pt-BR"/>
        </w:rPr>
        <w:t xml:space="preserve"> na intermediação de Valores Mobiliários</w:t>
      </w:r>
    </w:p>
    <w:p w14:paraId="63B18F4B" w14:textId="26167D58" w:rsidR="002E270E" w:rsidRDefault="002E270E" w:rsidP="00F60895">
      <w:pPr>
        <w:autoSpaceDE w:val="0"/>
        <w:autoSpaceDN w:val="0"/>
        <w:adjustRightInd w:val="0"/>
        <w:spacing w:before="60"/>
        <w:jc w:val="center"/>
        <w:rPr>
          <w:b/>
          <w:sz w:val="32"/>
          <w:lang w:val="pt-BR"/>
        </w:rPr>
      </w:pPr>
    </w:p>
    <w:p w14:paraId="2A6F4E35" w14:textId="335C865A" w:rsidR="00E84B76" w:rsidRPr="005F1FFC" w:rsidRDefault="00F12C0B" w:rsidP="00406B00">
      <w:pPr>
        <w:pStyle w:val="Heading1"/>
      </w:pPr>
      <w:bookmarkStart w:id="1" w:name="_Toc210807558"/>
      <w:bookmarkEnd w:id="0"/>
      <w:r>
        <w:t>Introdução</w:t>
      </w:r>
      <w:bookmarkEnd w:id="1"/>
      <w:r>
        <w:t xml:space="preserve"> </w:t>
      </w:r>
    </w:p>
    <w:p w14:paraId="2529640F" w14:textId="50EC5422" w:rsidR="005D335F" w:rsidRDefault="00F12C0B" w:rsidP="00F12C0B">
      <w:pPr>
        <w:spacing w:before="120" w:after="60"/>
        <w:rPr>
          <w:lang w:val="pt-BR"/>
        </w:rPr>
      </w:pPr>
      <w:r w:rsidRPr="00436EDB">
        <w:rPr>
          <w:lang w:val="pt-BR"/>
        </w:rPr>
        <w:t xml:space="preserve">O Banco Mizuho do Brasil S.A (doravante </w:t>
      </w:r>
      <w:r w:rsidRPr="00436EDB">
        <w:rPr>
          <w:b/>
          <w:lang w:val="pt-BR"/>
        </w:rPr>
        <w:t>“BMB”</w:t>
      </w:r>
      <w:r w:rsidRPr="00436EDB">
        <w:rPr>
          <w:lang w:val="pt-BR"/>
        </w:rPr>
        <w:t>), conforme definido na legislação aplicável, na qualidade de Intermediário</w:t>
      </w:r>
      <w:r w:rsidR="00D70D9B">
        <w:rPr>
          <w:lang w:val="pt-BR"/>
        </w:rPr>
        <w:t xml:space="preserve"> nos mercados organizados de valores </w:t>
      </w:r>
      <w:r w:rsidR="00696CDE">
        <w:rPr>
          <w:lang w:val="pt-BR"/>
        </w:rPr>
        <w:t>mobiliários</w:t>
      </w:r>
      <w:r w:rsidRPr="00436EDB">
        <w:rPr>
          <w:lang w:val="pt-BR"/>
        </w:rPr>
        <w:t xml:space="preserve">, </w:t>
      </w:r>
      <w:r w:rsidR="005D335F">
        <w:rPr>
          <w:lang w:val="pt-BR"/>
        </w:rPr>
        <w:t>divulga</w:t>
      </w:r>
      <w:r w:rsidRPr="00436EDB">
        <w:rPr>
          <w:lang w:val="pt-BR"/>
        </w:rPr>
        <w:t xml:space="preserve"> por meio deste documento</w:t>
      </w:r>
      <w:r w:rsidR="005D335F">
        <w:rPr>
          <w:lang w:val="pt-BR"/>
        </w:rPr>
        <w:t xml:space="preserve"> as informações de seus arranjos e formas de remuneração, bem como conflitos de interesse que sejam pertinentes a sua atuação, nos termos da Resolução CVM Nº 35, de 26 de maio de 2021 com as alterações trazidas pela Resolução CVM 179, de 14 de fevereiro de 2023</w:t>
      </w:r>
    </w:p>
    <w:p w14:paraId="65D41CFC" w14:textId="77777777" w:rsidR="00D76392" w:rsidRPr="00D76392" w:rsidRDefault="00D76392" w:rsidP="00D76392">
      <w:pPr>
        <w:spacing w:before="120" w:after="60"/>
        <w:rPr>
          <w:lang w:val="pt-BR"/>
        </w:rPr>
      </w:pPr>
      <w:r w:rsidRPr="00D76392">
        <w:rPr>
          <w:lang w:val="pt-BR"/>
        </w:rPr>
        <w:t>Este comunicado tem por objetivo apresentar as diretrizes adotadas pelo Banco Mizuho Brasil SA (“BMB”) em relação à remuneração decorrente da distribuição e intermediação de valores mobiliários, em consonância com os princípios de transparência, governança e alinhamento às melhores práticas de mercado.</w:t>
      </w:r>
    </w:p>
    <w:p w14:paraId="369D22E7" w14:textId="1568E09E" w:rsidR="00D76392" w:rsidRDefault="00D76392" w:rsidP="00D76392">
      <w:pPr>
        <w:spacing w:before="120" w:after="60"/>
        <w:rPr>
          <w:lang w:val="pt-BR"/>
        </w:rPr>
      </w:pPr>
      <w:r w:rsidRPr="00D76392">
        <w:rPr>
          <w:lang w:val="pt-BR"/>
        </w:rPr>
        <w:t>O BMB adota estas diretrizes com o propósito de assegurar que sua metodologia de remuneração esteja alinhada aos interesses de seus clientes, mitigando potenciais conflitos de interesse e garantindo o cumprimento integral da legislação e regulamentações aplicáveis.</w:t>
      </w:r>
    </w:p>
    <w:p w14:paraId="48359507" w14:textId="77777777" w:rsidR="00D76392" w:rsidRDefault="00D76392" w:rsidP="00F12C0B">
      <w:pPr>
        <w:spacing w:before="120" w:after="60"/>
        <w:rPr>
          <w:lang w:val="pt-BR"/>
        </w:rPr>
      </w:pPr>
    </w:p>
    <w:p w14:paraId="0A689AED" w14:textId="25BB8C56" w:rsidR="00D76392" w:rsidRDefault="00D76392" w:rsidP="00F12C0B">
      <w:pPr>
        <w:pStyle w:val="Heading1"/>
      </w:pPr>
      <w:bookmarkStart w:id="2" w:name="_Toc210807559"/>
      <w:bookmarkStart w:id="3" w:name="_Toc210807560"/>
      <w:bookmarkStart w:id="4" w:name="_Toc80304220"/>
      <w:bookmarkStart w:id="5" w:name="_Toc210807561"/>
      <w:bookmarkEnd w:id="2"/>
      <w:bookmarkEnd w:id="3"/>
      <w:bookmarkEnd w:id="4"/>
      <w:r>
        <w:t>Abrangência</w:t>
      </w:r>
    </w:p>
    <w:p w14:paraId="67B5E03C" w14:textId="251676AA" w:rsidR="00D76392" w:rsidRPr="00D76392" w:rsidRDefault="00D76392" w:rsidP="00D76392">
      <w:pPr>
        <w:rPr>
          <w:lang w:val="pt-BR" w:eastAsia="en-US"/>
        </w:rPr>
      </w:pPr>
      <w:r w:rsidRPr="00D76392">
        <w:rPr>
          <w:lang w:val="pt-BR" w:eastAsia="en-US"/>
        </w:rPr>
        <w:t xml:space="preserve">As diretrizes aqui estabelecidas aplicam-se a todos os valores mobiliários e ativos financeiros distribuídos ou intermediados pelo BMB, incluindo, mas não se limitando a: Debêntures; Letras Financeiras; Notas Comerciais; Notas Promissórias; Operações Compromissadas lastreadas; </w:t>
      </w:r>
      <w:proofErr w:type="gramStart"/>
      <w:r w:rsidRPr="00D76392">
        <w:rPr>
          <w:lang w:val="pt-BR" w:eastAsia="en-US"/>
        </w:rPr>
        <w:t xml:space="preserve">e </w:t>
      </w:r>
      <w:r>
        <w:rPr>
          <w:lang w:val="pt-BR" w:eastAsia="en-US"/>
        </w:rPr>
        <w:t>D</w:t>
      </w:r>
      <w:r w:rsidRPr="00D76392">
        <w:rPr>
          <w:lang w:val="pt-BR" w:eastAsia="en-US"/>
        </w:rPr>
        <w:t>erivativos</w:t>
      </w:r>
      <w:proofErr w:type="gramEnd"/>
      <w:r w:rsidRPr="00D76392">
        <w:rPr>
          <w:lang w:val="pt-BR" w:eastAsia="en-US"/>
        </w:rPr>
        <w:t>.</w:t>
      </w:r>
    </w:p>
    <w:p w14:paraId="4F93321F" w14:textId="77777777" w:rsidR="00D76392" w:rsidRPr="00D76392" w:rsidRDefault="00D76392" w:rsidP="00D76392">
      <w:pPr>
        <w:rPr>
          <w:lang w:val="pt-BR" w:eastAsia="en-US"/>
        </w:rPr>
      </w:pPr>
    </w:p>
    <w:p w14:paraId="6E08B091" w14:textId="29846CA4" w:rsidR="00D76392" w:rsidRDefault="00D76392" w:rsidP="00F12C0B">
      <w:pPr>
        <w:pStyle w:val="Heading1"/>
      </w:pPr>
      <w:r w:rsidRPr="00D76392">
        <w:t>Processo de Distribuição e Intermediação</w:t>
      </w:r>
    </w:p>
    <w:p w14:paraId="702AFB14" w14:textId="244E5F21" w:rsidR="00D76392" w:rsidRDefault="00D76392" w:rsidP="00D76392">
      <w:pPr>
        <w:rPr>
          <w:lang w:val="pt-BR" w:eastAsia="en-US"/>
        </w:rPr>
      </w:pPr>
      <w:r w:rsidRPr="00D76392">
        <w:rPr>
          <w:lang w:val="pt-BR" w:eastAsia="en-US"/>
        </w:rPr>
        <w:t>A decisão quanto à aquisição de quaisquer valores mobiliários é de exclusiva responsabilidade do cliente, que poderá contar com o suporte do time do BMB responsável em fornecer todas as informações necessárias à tomada de decisão de investimento ou realização de operações.</w:t>
      </w:r>
    </w:p>
    <w:p w14:paraId="73D36740" w14:textId="77777777" w:rsidR="00584F6F" w:rsidRPr="00D76392" w:rsidRDefault="00584F6F" w:rsidP="00D76392">
      <w:pPr>
        <w:rPr>
          <w:lang w:val="pt-BR" w:eastAsia="en-US"/>
        </w:rPr>
      </w:pPr>
    </w:p>
    <w:p w14:paraId="296469D3" w14:textId="6A0C1EDB" w:rsidR="00F12C0B" w:rsidRDefault="005D335F" w:rsidP="00F12C0B">
      <w:pPr>
        <w:pStyle w:val="Heading1"/>
      </w:pPr>
      <w:r>
        <w:t>Remuneração</w:t>
      </w:r>
      <w:bookmarkEnd w:id="5"/>
      <w:r>
        <w:t xml:space="preserve"> </w:t>
      </w:r>
    </w:p>
    <w:p w14:paraId="7971FA24" w14:textId="77777777" w:rsidR="00D76392" w:rsidRPr="00D76392" w:rsidRDefault="00D76392" w:rsidP="00D76392">
      <w:pPr>
        <w:rPr>
          <w:lang w:val="pt-BR" w:eastAsia="en-US"/>
        </w:rPr>
      </w:pPr>
      <w:r w:rsidRPr="00D76392">
        <w:rPr>
          <w:lang w:val="pt-BR" w:eastAsia="en-US"/>
        </w:rPr>
        <w:t>A remuneração cobrada pelo BMB em razão da distribuição e intermediação de valores mobiliários está diretamente relacionada às escolhas de produtos realizadas pelos clientes, podendo ser composta por:</w:t>
      </w:r>
    </w:p>
    <w:p w14:paraId="249635EF" w14:textId="77777777" w:rsidR="00D76392" w:rsidRPr="00D76392" w:rsidRDefault="00D76392" w:rsidP="00D76392">
      <w:pPr>
        <w:rPr>
          <w:lang w:val="pt-BR" w:eastAsia="en-US"/>
        </w:rPr>
      </w:pPr>
      <w:r w:rsidRPr="002E270E">
        <w:rPr>
          <w:b/>
          <w:bCs/>
          <w:lang w:val="pt-BR" w:eastAsia="en-US"/>
        </w:rPr>
        <w:t>Spread:</w:t>
      </w:r>
      <w:r w:rsidRPr="00D76392">
        <w:rPr>
          <w:lang w:val="pt-BR" w:eastAsia="en-US"/>
        </w:rPr>
        <w:t xml:space="preserve"> diferença entre o custo de aquisição e o preço de venda de uma transação financeira;</w:t>
      </w:r>
    </w:p>
    <w:p w14:paraId="319FD93B" w14:textId="77777777" w:rsidR="00D76392" w:rsidRPr="00D76392" w:rsidRDefault="00D76392" w:rsidP="00D76392">
      <w:pPr>
        <w:rPr>
          <w:lang w:val="pt-BR" w:eastAsia="en-US"/>
        </w:rPr>
      </w:pPr>
      <w:r w:rsidRPr="002E270E">
        <w:rPr>
          <w:b/>
          <w:bCs/>
          <w:lang w:val="pt-BR" w:eastAsia="en-US"/>
        </w:rPr>
        <w:t>Taxa de Distribuição:</w:t>
      </w:r>
      <w:r w:rsidRPr="00D76392">
        <w:rPr>
          <w:lang w:val="pt-BR" w:eastAsia="en-US"/>
        </w:rPr>
        <w:t xml:space="preserve"> valor cobrado pela distribuição de valores mobiliários no contexto de ofertas públicas, </w:t>
      </w:r>
      <w:r w:rsidRPr="00D76392">
        <w:rPr>
          <w:lang w:val="pt-BR" w:eastAsia="en-US"/>
        </w:rPr>
        <w:lastRenderedPageBreak/>
        <w:t>direcionadas aos investidores;</w:t>
      </w:r>
    </w:p>
    <w:p w14:paraId="5C5D8A3E" w14:textId="77777777" w:rsidR="00D76392" w:rsidRPr="00D76392" w:rsidRDefault="00D76392" w:rsidP="00D76392">
      <w:pPr>
        <w:rPr>
          <w:lang w:val="pt-BR" w:eastAsia="en-US"/>
        </w:rPr>
      </w:pPr>
      <w:r w:rsidRPr="002E270E">
        <w:rPr>
          <w:b/>
          <w:bCs/>
          <w:lang w:val="pt-BR" w:eastAsia="en-US"/>
        </w:rPr>
        <w:t>Taxa de Estruturação:</w:t>
      </w:r>
      <w:r w:rsidRPr="00D76392">
        <w:rPr>
          <w:lang w:val="pt-BR" w:eastAsia="en-US"/>
        </w:rPr>
        <w:t xml:space="preserve"> valor cobrado dos emissores com o objetivo de estruturar e intermediar ofertas públicas de valores mobiliários.</w:t>
      </w:r>
    </w:p>
    <w:p w14:paraId="575739FB" w14:textId="0B8D5640" w:rsidR="00D76392" w:rsidRDefault="00D76392" w:rsidP="00D76392">
      <w:pPr>
        <w:rPr>
          <w:lang w:val="pt-BR" w:eastAsia="en-US"/>
        </w:rPr>
      </w:pPr>
      <w:r w:rsidRPr="00D76392">
        <w:rPr>
          <w:lang w:val="pt-BR" w:eastAsia="en-US"/>
        </w:rPr>
        <w:t>O BMB informará previamente os clientes sobre as condições gerais de remuneração aplicáveis no momento da contratação, incluindo detalhes sobre as taxas envolvidas e sua periodicidade de pagamento.</w:t>
      </w:r>
    </w:p>
    <w:p w14:paraId="7B06D8F4" w14:textId="77777777" w:rsidR="00F12C0B" w:rsidRPr="00F12C0B" w:rsidRDefault="00F12C0B" w:rsidP="00F12C0B">
      <w:pPr>
        <w:rPr>
          <w:lang w:val="pt-BR" w:eastAsia="en-US"/>
        </w:rPr>
      </w:pPr>
    </w:p>
    <w:p w14:paraId="6657153A" w14:textId="57FB1E9E" w:rsidR="00F12C0B" w:rsidRDefault="00D76392" w:rsidP="00F12C0B">
      <w:pPr>
        <w:pStyle w:val="Heading1"/>
      </w:pPr>
      <w:bookmarkStart w:id="6" w:name="_Toc210807589"/>
      <w:bookmarkStart w:id="7" w:name="_Toc210807590"/>
      <w:bookmarkEnd w:id="6"/>
      <w:r>
        <w:t xml:space="preserve">Mitigação de </w:t>
      </w:r>
      <w:r w:rsidR="005D335F">
        <w:t>Conflitos de Interesses</w:t>
      </w:r>
      <w:bookmarkEnd w:id="7"/>
    </w:p>
    <w:p w14:paraId="672A593F" w14:textId="5EAEB77A" w:rsidR="00584F6F" w:rsidRDefault="0015412D" w:rsidP="00584F6F">
      <w:pPr>
        <w:spacing w:before="120" w:after="60"/>
        <w:rPr>
          <w:lang w:val="pt-BR"/>
        </w:rPr>
      </w:pPr>
      <w:r>
        <w:rPr>
          <w:lang w:val="pt-BR"/>
        </w:rPr>
        <w:t xml:space="preserve">São </w:t>
      </w:r>
      <w:r w:rsidR="004D0183">
        <w:rPr>
          <w:lang w:val="pt-BR"/>
        </w:rPr>
        <w:t>pertinentes</w:t>
      </w:r>
      <w:r>
        <w:rPr>
          <w:lang w:val="pt-BR"/>
        </w:rPr>
        <w:t xml:space="preserve"> às atividades de intermediação de Valores Mobiliários</w:t>
      </w:r>
      <w:r w:rsidR="004D0183">
        <w:rPr>
          <w:lang w:val="pt-BR"/>
        </w:rPr>
        <w:t xml:space="preserve"> do BMB potenciais conflitos de interesses</w:t>
      </w:r>
      <w:r w:rsidR="00AE479E">
        <w:rPr>
          <w:lang w:val="pt-BR"/>
        </w:rPr>
        <w:t xml:space="preserve">, incluindo, mas não se limitando àqueles de aspecto financeiro/de remuneração inerentes à recomendação de operações a clientes e que envolvam ofertas públicas de </w:t>
      </w:r>
      <w:r w:rsidR="00AE479E" w:rsidRPr="00AE479E">
        <w:rPr>
          <w:lang w:val="pt-BR"/>
        </w:rPr>
        <w:t>valores mobiliários coordenadas e intermediadas pelo BMB, concomitantemente para clientes concorrentes</w:t>
      </w:r>
      <w:r w:rsidR="00AE479E">
        <w:rPr>
          <w:lang w:val="pt-BR"/>
        </w:rPr>
        <w:t>.</w:t>
      </w:r>
    </w:p>
    <w:p w14:paraId="119757E5" w14:textId="056AA436" w:rsidR="00D76392" w:rsidRPr="00D76392" w:rsidRDefault="002F5D3E" w:rsidP="00584F6F">
      <w:pPr>
        <w:spacing w:before="120" w:after="60"/>
        <w:rPr>
          <w:lang w:val="pt-BR"/>
        </w:rPr>
      </w:pPr>
      <w:r>
        <w:rPr>
          <w:lang w:val="pt-BR" w:eastAsia="en-US"/>
        </w:rPr>
        <w:t xml:space="preserve">O BMB </w:t>
      </w:r>
      <w:r w:rsidR="00D76392" w:rsidRPr="00D76392">
        <w:rPr>
          <w:lang w:val="pt-BR" w:eastAsia="en-US"/>
        </w:rPr>
        <w:t>adota um conjunto robusto de práticas para prevenir e mitigar potenciais conflitos de interesse, conforme descrito a seguir:</w:t>
      </w:r>
    </w:p>
    <w:p w14:paraId="0D31E45A" w14:textId="05613247" w:rsidR="00D76392" w:rsidRPr="002F5D3E" w:rsidRDefault="00065276" w:rsidP="00D76392">
      <w:pPr>
        <w:rPr>
          <w:lang w:val="pt-BR" w:eastAsia="en-US"/>
        </w:rPr>
      </w:pPr>
      <w:r>
        <w:rPr>
          <w:b/>
          <w:bCs/>
          <w:lang w:val="pt-BR" w:eastAsia="en-US"/>
        </w:rPr>
        <w:t>Políticas</w:t>
      </w:r>
      <w:r w:rsidR="002F5D3E">
        <w:rPr>
          <w:b/>
          <w:bCs/>
          <w:lang w:val="pt-BR" w:eastAsia="en-US"/>
        </w:rPr>
        <w:t xml:space="preserve"> de Conflitos de Interesses e Diretrizes de</w:t>
      </w:r>
      <w:r w:rsidR="00D76392" w:rsidRPr="00D76392">
        <w:rPr>
          <w:b/>
          <w:bCs/>
          <w:lang w:val="pt-BR" w:eastAsia="en-US"/>
        </w:rPr>
        <w:t xml:space="preserve"> Conduta:</w:t>
      </w:r>
      <w:r w:rsidR="00D76392" w:rsidRPr="00D76392">
        <w:rPr>
          <w:lang w:val="pt-BR" w:eastAsia="en-US"/>
        </w:rPr>
        <w:t xml:space="preserve"> Os colaboradores do BMB </w:t>
      </w:r>
      <w:r w:rsidR="002F5D3E">
        <w:rPr>
          <w:lang w:val="pt-BR" w:eastAsia="en-US"/>
        </w:rPr>
        <w:t>estão su</w:t>
      </w:r>
      <w:r>
        <w:rPr>
          <w:lang w:val="pt-BR" w:eastAsia="en-US"/>
        </w:rPr>
        <w:t xml:space="preserve">jeitos </w:t>
      </w:r>
      <w:r w:rsidR="002F5D3E">
        <w:rPr>
          <w:lang w:val="pt-BR" w:eastAsia="en-US"/>
        </w:rPr>
        <w:t xml:space="preserve">a Políticas que estabelecem meios de </w:t>
      </w:r>
      <w:r w:rsidR="002F5D3E">
        <w:rPr>
          <w:lang w:val="pt-BR"/>
        </w:rPr>
        <w:t>i</w:t>
      </w:r>
      <w:r w:rsidR="002F5D3E" w:rsidRPr="00584F6F">
        <w:rPr>
          <w:lang w:val="pt-BR"/>
        </w:rPr>
        <w:t xml:space="preserve">dentificação </w:t>
      </w:r>
      <w:r w:rsidR="002F5D3E">
        <w:rPr>
          <w:lang w:val="pt-BR"/>
        </w:rPr>
        <w:t xml:space="preserve">e tratamento de situações </w:t>
      </w:r>
      <w:r w:rsidR="002F5D3E" w:rsidRPr="00584F6F">
        <w:rPr>
          <w:lang w:val="pt-BR"/>
        </w:rPr>
        <w:t>de conflitos de interesses reais</w:t>
      </w:r>
      <w:r>
        <w:rPr>
          <w:lang w:val="pt-BR"/>
        </w:rPr>
        <w:t xml:space="preserve"> ou</w:t>
      </w:r>
      <w:r w:rsidR="002F5D3E" w:rsidRPr="00584F6F">
        <w:rPr>
          <w:lang w:val="pt-BR"/>
        </w:rPr>
        <w:t xml:space="preserve"> potenciais</w:t>
      </w:r>
      <w:r w:rsidR="002F5D3E">
        <w:rPr>
          <w:lang w:val="pt-BR"/>
        </w:rPr>
        <w:t xml:space="preserve">. </w:t>
      </w:r>
    </w:p>
    <w:p w14:paraId="4E11F76F" w14:textId="78242A2B" w:rsidR="00D76392" w:rsidRPr="00D76392" w:rsidRDefault="00D76392" w:rsidP="00D76392">
      <w:pPr>
        <w:rPr>
          <w:lang w:val="pt-BR" w:eastAsia="en-US"/>
        </w:rPr>
      </w:pPr>
      <w:r w:rsidRPr="00D76392">
        <w:rPr>
          <w:b/>
          <w:bCs/>
          <w:lang w:val="pt-BR" w:eastAsia="en-US"/>
        </w:rPr>
        <w:t>Governança e Mecanismos de Controle:</w:t>
      </w:r>
      <w:r w:rsidRPr="00D76392">
        <w:rPr>
          <w:lang w:val="pt-BR" w:eastAsia="en-US"/>
        </w:rPr>
        <w:t xml:space="preserve"> O banco mantém estruturas de governança e controle</w:t>
      </w:r>
      <w:r w:rsidR="00065276">
        <w:rPr>
          <w:lang w:val="pt-BR" w:eastAsia="en-US"/>
        </w:rPr>
        <w:t>s</w:t>
      </w:r>
      <w:r w:rsidRPr="00D76392">
        <w:rPr>
          <w:lang w:val="pt-BR" w:eastAsia="en-US"/>
        </w:rPr>
        <w:t xml:space="preserve"> interno</w:t>
      </w:r>
      <w:r w:rsidR="00065276">
        <w:rPr>
          <w:lang w:val="pt-BR" w:eastAsia="en-US"/>
        </w:rPr>
        <w:t>s</w:t>
      </w:r>
      <w:r w:rsidRPr="00D76392">
        <w:rPr>
          <w:lang w:val="pt-BR" w:eastAsia="en-US"/>
        </w:rPr>
        <w:t xml:space="preserve"> que asseguram a supervisão adequada das atividades, incluindo mecanismos de </w:t>
      </w:r>
      <w:r w:rsidR="00065276">
        <w:rPr>
          <w:lang w:val="pt-BR" w:eastAsia="en-US"/>
        </w:rPr>
        <w:t xml:space="preserve">controle e </w:t>
      </w:r>
      <w:r w:rsidRPr="00D76392">
        <w:rPr>
          <w:lang w:val="pt-BR" w:eastAsia="en-US"/>
        </w:rPr>
        <w:t>monitoramento para detecção e mitigação de riscos</w:t>
      </w:r>
      <w:r w:rsidR="00065276">
        <w:rPr>
          <w:lang w:val="pt-BR" w:eastAsia="en-US"/>
        </w:rPr>
        <w:t xml:space="preserve"> de conflitos de interesses</w:t>
      </w:r>
      <w:r w:rsidR="00AC550D">
        <w:rPr>
          <w:lang w:val="pt-BR" w:eastAsia="en-US"/>
        </w:rPr>
        <w:t>, bem como canais para reporte de irregularidades.</w:t>
      </w:r>
    </w:p>
    <w:p w14:paraId="224E33A5" w14:textId="1541C87B" w:rsidR="00D76392" w:rsidRDefault="00D76392" w:rsidP="00D76392">
      <w:pPr>
        <w:rPr>
          <w:lang w:val="pt-BR" w:eastAsia="en-US"/>
        </w:rPr>
      </w:pPr>
      <w:r w:rsidRPr="00D76392">
        <w:rPr>
          <w:b/>
          <w:bCs/>
          <w:lang w:val="pt-BR" w:eastAsia="en-US"/>
        </w:rPr>
        <w:t>Transparência e Divulgação de Informações:</w:t>
      </w:r>
      <w:r w:rsidRPr="00D76392">
        <w:rPr>
          <w:lang w:val="pt-BR" w:eastAsia="en-US"/>
        </w:rPr>
        <w:t xml:space="preserve"> As informações relevantes sobre as operações, bem como eventuais vínculos com outras instituições ou entidades, são divulgadas de forma clara e acessível</w:t>
      </w:r>
      <w:r w:rsidR="00065276">
        <w:rPr>
          <w:lang w:val="pt-BR" w:eastAsia="en-US"/>
        </w:rPr>
        <w:t xml:space="preserve"> nos materiais e canais pertinentes</w:t>
      </w:r>
      <w:r w:rsidRPr="00D76392">
        <w:rPr>
          <w:lang w:val="pt-BR" w:eastAsia="en-US"/>
        </w:rPr>
        <w:t>, contribuindo para o fortalecimento da confiança de clientes, acionistas e órgãos reguladores.</w:t>
      </w:r>
    </w:p>
    <w:p w14:paraId="3451133F" w14:textId="0FE84A18" w:rsidR="00065276" w:rsidRPr="00D76392" w:rsidRDefault="00D72E09" w:rsidP="00D76392">
      <w:pPr>
        <w:rPr>
          <w:lang w:val="pt-BR" w:eastAsia="en-US"/>
        </w:rPr>
      </w:pPr>
      <w:r>
        <w:rPr>
          <w:b/>
          <w:bCs/>
          <w:lang w:val="pt-BR" w:eastAsia="en-US"/>
        </w:rPr>
        <w:t>Atuação de Pessoas Vinculadas</w:t>
      </w:r>
      <w:r w:rsidR="00065276" w:rsidRPr="00065276">
        <w:rPr>
          <w:b/>
          <w:bCs/>
          <w:lang w:val="pt-BR" w:eastAsia="en-US"/>
        </w:rPr>
        <w:t>:</w:t>
      </w:r>
      <w:r w:rsidR="00065276">
        <w:rPr>
          <w:lang w:val="pt-BR" w:eastAsia="en-US"/>
        </w:rPr>
        <w:t xml:space="preserve"> O BMB dispõe de mecanismos para controle e monitoramento de negociações de valores mobiliários por pessoas vinculadas.</w:t>
      </w:r>
    </w:p>
    <w:p w14:paraId="2D1FFE02" w14:textId="06E7D918" w:rsidR="00D76392" w:rsidRPr="00D76392" w:rsidRDefault="00D76392" w:rsidP="00D76392">
      <w:pPr>
        <w:rPr>
          <w:lang w:val="pt-BR" w:eastAsia="en-US"/>
        </w:rPr>
      </w:pPr>
      <w:r w:rsidRPr="00D76392">
        <w:rPr>
          <w:b/>
          <w:bCs/>
          <w:lang w:val="pt-BR" w:eastAsia="en-US"/>
        </w:rPr>
        <w:t>Segregação de Atividades:</w:t>
      </w:r>
      <w:r w:rsidRPr="00D76392">
        <w:rPr>
          <w:lang w:val="pt-BR" w:eastAsia="en-US"/>
        </w:rPr>
        <w:t xml:space="preserve"> </w:t>
      </w:r>
      <w:r w:rsidR="00065276">
        <w:rPr>
          <w:lang w:val="pt-BR" w:eastAsia="en-US"/>
        </w:rPr>
        <w:t>O BMB possui</w:t>
      </w:r>
      <w:r w:rsidRPr="00D76392">
        <w:rPr>
          <w:lang w:val="pt-BR" w:eastAsia="en-US"/>
        </w:rPr>
        <w:t xml:space="preserve"> controle</w:t>
      </w:r>
      <w:r w:rsidR="00065276">
        <w:rPr>
          <w:lang w:val="pt-BR" w:eastAsia="en-US"/>
        </w:rPr>
        <w:t>s</w:t>
      </w:r>
      <w:r w:rsidRPr="00D76392">
        <w:rPr>
          <w:lang w:val="pt-BR" w:eastAsia="en-US"/>
        </w:rPr>
        <w:t xml:space="preserve"> de acesso e segregação física entre os profissionais responsáveis pelas atividades de mercado de capitais — especialmente aqueles envolvidos em ofertas públicas — e demais áreas da instituição,</w:t>
      </w:r>
      <w:r w:rsidR="00AC550D">
        <w:rPr>
          <w:lang w:val="pt-BR" w:eastAsia="en-US"/>
        </w:rPr>
        <w:t xml:space="preserve"> além de controles específicos sobre o processamento e fluxo de informações confidenciais e privilegiadas.</w:t>
      </w:r>
    </w:p>
    <w:p w14:paraId="3BA5DDF0" w14:textId="18AA46CF" w:rsidR="00582EEF" w:rsidRDefault="00D76392" w:rsidP="00D76392">
      <w:pPr>
        <w:rPr>
          <w:lang w:val="pt-BR" w:eastAsia="en-US"/>
        </w:rPr>
      </w:pPr>
      <w:r w:rsidRPr="00D76392">
        <w:rPr>
          <w:b/>
          <w:bCs/>
          <w:lang w:val="pt-BR" w:eastAsia="en-US"/>
        </w:rPr>
        <w:t>Treinamento</w:t>
      </w:r>
      <w:r w:rsidR="00065276">
        <w:rPr>
          <w:b/>
          <w:bCs/>
          <w:lang w:val="pt-BR" w:eastAsia="en-US"/>
        </w:rPr>
        <w:t>s</w:t>
      </w:r>
      <w:r w:rsidRPr="00D76392">
        <w:rPr>
          <w:b/>
          <w:bCs/>
          <w:lang w:val="pt-BR" w:eastAsia="en-US"/>
        </w:rPr>
        <w:t>:</w:t>
      </w:r>
      <w:r w:rsidRPr="00D76392">
        <w:rPr>
          <w:lang w:val="pt-BR" w:eastAsia="en-US"/>
        </w:rPr>
        <w:t xml:space="preserve"> </w:t>
      </w:r>
      <w:r w:rsidR="00AC550D">
        <w:rPr>
          <w:lang w:val="pt-BR" w:eastAsia="en-US"/>
        </w:rPr>
        <w:t>O BMB aplica</w:t>
      </w:r>
      <w:r w:rsidRPr="00D76392">
        <w:rPr>
          <w:lang w:val="pt-BR" w:eastAsia="en-US"/>
        </w:rPr>
        <w:t xml:space="preserve"> treinamentos regulares sobre</w:t>
      </w:r>
      <w:r w:rsidR="00AC550D">
        <w:rPr>
          <w:lang w:val="pt-BR" w:eastAsia="en-US"/>
        </w:rPr>
        <w:t xml:space="preserve"> conflitos de interesses, diretrizes de conduta e demais </w:t>
      </w:r>
      <w:r w:rsidR="00065276">
        <w:rPr>
          <w:lang w:val="pt-BR" w:eastAsia="en-US"/>
        </w:rPr>
        <w:t>temas correlatos,</w:t>
      </w:r>
      <w:r w:rsidR="00AC550D">
        <w:rPr>
          <w:lang w:val="pt-BR" w:eastAsia="en-US"/>
        </w:rPr>
        <w:t xml:space="preserve"> que visam garantir um</w:t>
      </w:r>
      <w:r w:rsidRPr="00D76392">
        <w:rPr>
          <w:lang w:val="pt-BR" w:eastAsia="en-US"/>
        </w:rPr>
        <w:t xml:space="preserve"> alinhamento</w:t>
      </w:r>
      <w:r w:rsidR="00AC550D">
        <w:rPr>
          <w:lang w:val="pt-BR" w:eastAsia="en-US"/>
        </w:rPr>
        <w:t xml:space="preserve"> interno</w:t>
      </w:r>
      <w:r w:rsidRPr="00D76392">
        <w:rPr>
          <w:lang w:val="pt-BR" w:eastAsia="en-US"/>
        </w:rPr>
        <w:t xml:space="preserve"> com as normas</w:t>
      </w:r>
      <w:r w:rsidR="00AC550D">
        <w:rPr>
          <w:lang w:val="pt-BR" w:eastAsia="en-US"/>
        </w:rPr>
        <w:t xml:space="preserve"> vigentes.</w:t>
      </w:r>
    </w:p>
    <w:p w14:paraId="4FE437A0" w14:textId="77777777" w:rsidR="00D72E09" w:rsidRDefault="00D72E09" w:rsidP="00BC4C7B">
      <w:pPr>
        <w:widowControl/>
        <w:jc w:val="center"/>
        <w:rPr>
          <w:rFonts w:asciiTheme="majorHAnsi" w:hAnsiTheme="majorHAnsi" w:cstheme="majorHAnsi"/>
          <w:b/>
          <w:sz w:val="24"/>
          <w:szCs w:val="24"/>
          <w:lang w:val="pt-BR"/>
        </w:rPr>
      </w:pPr>
      <w:bookmarkStart w:id="8" w:name="_Toc210807592"/>
      <w:bookmarkStart w:id="9" w:name="_Toc210807594"/>
      <w:bookmarkEnd w:id="8"/>
      <w:bookmarkEnd w:id="9"/>
    </w:p>
    <w:p w14:paraId="4ECDAEC3" w14:textId="39B78132" w:rsidR="002F0869" w:rsidRPr="005F1FFC" w:rsidRDefault="00706BEA" w:rsidP="00BC4C7B">
      <w:pPr>
        <w:widowControl/>
        <w:jc w:val="center"/>
        <w:rPr>
          <w:rFonts w:asciiTheme="majorHAnsi" w:hAnsiTheme="majorHAnsi" w:cstheme="majorHAnsi"/>
          <w:szCs w:val="22"/>
          <w:lang w:val="pt-BR"/>
        </w:rPr>
      </w:pPr>
      <w:r>
        <w:rPr>
          <w:rFonts w:asciiTheme="majorHAnsi" w:hAnsiTheme="majorHAnsi" w:cstheme="majorHAnsi"/>
          <w:b/>
          <w:sz w:val="24"/>
          <w:szCs w:val="24"/>
          <w:lang w:val="pt-BR"/>
        </w:rPr>
        <w:t>Banco Mizuho do B</w:t>
      </w:r>
      <w:r w:rsidR="005D335F">
        <w:rPr>
          <w:rFonts w:asciiTheme="majorHAnsi" w:hAnsiTheme="majorHAnsi" w:cstheme="majorHAnsi"/>
          <w:b/>
          <w:sz w:val="24"/>
          <w:szCs w:val="24"/>
          <w:lang w:val="pt-BR"/>
        </w:rPr>
        <w:t>rasil</w:t>
      </w:r>
      <w:r>
        <w:rPr>
          <w:rFonts w:asciiTheme="majorHAnsi" w:hAnsiTheme="majorHAnsi" w:cstheme="majorHAnsi"/>
          <w:b/>
          <w:sz w:val="24"/>
          <w:szCs w:val="24"/>
          <w:lang w:val="pt-BR"/>
        </w:rPr>
        <w:t xml:space="preserve"> S.A.</w:t>
      </w:r>
    </w:p>
    <w:sectPr w:rsidR="002F0869" w:rsidRPr="005F1FFC" w:rsidSect="005F1FF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134" w:bottom="1701" w:left="1021" w:header="403" w:footer="992" w:gutter="0"/>
      <w:cols w:space="425"/>
      <w:titlePg/>
      <w:docGrid w:type="lines"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645032" w14:textId="77777777" w:rsidR="00255A07" w:rsidRDefault="00255A07">
      <w:r>
        <w:separator/>
      </w:r>
    </w:p>
  </w:endnote>
  <w:endnote w:type="continuationSeparator" w:id="0">
    <w:p w14:paraId="300ADE36" w14:textId="77777777" w:rsidR="00255A07" w:rsidRDefault="00255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平成明朝">
    <w:altName w:val="MS Mincho"/>
    <w:charset w:val="80"/>
    <w:family w:val="auto"/>
    <w:pitch w:val="variable"/>
    <w:sig w:usb0="00000000" w:usb1="00000708" w:usb2="10000000" w:usb3="00000000" w:csb0="0002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平成角ゴシック">
    <w:altName w:val="MS Gothic"/>
    <w:charset w:val="80"/>
    <w:family w:val="auto"/>
    <w:pitch w:val="variable"/>
    <w:sig w:usb0="00000000" w:usb1="00000708" w:usb2="10000000" w:usb3="00000000" w:csb0="00020000" w:csb1="00000000"/>
  </w:font>
  <w:font w:name="Pompei Std Light">
    <w:panose1 w:val="02020303050405020304"/>
    <w:charset w:val="00"/>
    <w:family w:val="roman"/>
    <w:notTrueType/>
    <w:pitch w:val="variable"/>
    <w:sig w:usb0="800000AF" w:usb1="5000204A" w:usb2="00000000" w:usb3="00000000" w:csb0="00000001" w:csb1="00000000"/>
  </w:font>
  <w:font w:name="CompatilFact LT Regular">
    <w:altName w:val="Bell MT"/>
    <w:charset w:val="00"/>
    <w:family w:val="auto"/>
    <w:pitch w:val="variable"/>
    <w:sig w:usb0="00000003" w:usb1="0000004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6A896C" w14:textId="41521217" w:rsidR="00706BEA" w:rsidRDefault="00706BEA">
    <w:pPr>
      <w:pStyle w:val="Footer"/>
      <w:jc w:val="center"/>
      <w:rPr>
        <w:color w:val="000000"/>
        <w:sz w:val="17"/>
        <w:szCs w:val="16"/>
      </w:rPr>
    </w:pPr>
    <w:bookmarkStart w:id="10" w:name="TITUS1FooterEvenPages"/>
    <w:r>
      <w:rPr>
        <w:color w:val="000000"/>
        <w:sz w:val="17"/>
        <w:szCs w:val="16"/>
      </w:rPr>
      <w:t> </w:t>
    </w:r>
  </w:p>
  <w:bookmarkEnd w:id="10"/>
  <w:p w14:paraId="673A63AD" w14:textId="77777777" w:rsidR="005F1FFC" w:rsidRDefault="005F1FFC">
    <w:pPr>
      <w:pStyle w:val="Footer"/>
      <w:jc w:val="center"/>
      <w:rPr>
        <w:color w:val="000000"/>
        <w:sz w:val="17"/>
        <w:szCs w:val="16"/>
      </w:rPr>
    </w:pPr>
  </w:p>
  <w:p w14:paraId="6FE8ACDB" w14:textId="77777777" w:rsidR="005F1FFC" w:rsidRDefault="005F1FFC" w:rsidP="005F1FFC">
    <w:pPr>
      <w:pStyle w:val="Footer"/>
      <w:jc w:val="center"/>
      <w:rPr>
        <w:color w:val="000000"/>
        <w:sz w:val="17"/>
        <w:szCs w:val="16"/>
      </w:rPr>
    </w:pPr>
    <w:r w:rsidRPr="00BD6CEF">
      <w:rPr>
        <w:color w:val="000000"/>
        <w:sz w:val="17"/>
        <w:szCs w:val="16"/>
      </w:rPr>
      <w:t> </w:t>
    </w:r>
  </w:p>
  <w:p w14:paraId="3A7A6FC1" w14:textId="0EB6592E" w:rsidR="00887BF7" w:rsidRDefault="00887BF7" w:rsidP="00887BF7">
    <w:pPr>
      <w:pStyle w:val="Footer"/>
      <w:jc w:val="right"/>
      <w:rPr>
        <w:b/>
        <w:color w:val="7F7F7F"/>
        <w:sz w:val="16"/>
        <w:szCs w:val="16"/>
      </w:rPr>
    </w:pPr>
    <w:r>
      <w:rPr>
        <w:b/>
        <w:color w:val="7F7F7F"/>
        <w:sz w:val="16"/>
        <w:szCs w:val="16"/>
      </w:rPr>
      <w:t>Page:</w:t>
    </w:r>
    <w:r w:rsidRPr="000D0170">
      <w:rPr>
        <w:b/>
        <w:color w:val="7F7F7F"/>
        <w:sz w:val="16"/>
        <w:szCs w:val="16"/>
      </w:rPr>
      <w:t xml:space="preserve"> </w:t>
    </w:r>
    <w:r>
      <w:rPr>
        <w:b/>
        <w:color w:val="7F7F7F"/>
        <w:sz w:val="16"/>
        <w:szCs w:val="16"/>
      </w:rPr>
      <w:t xml:space="preserve"> </w:t>
    </w:r>
    <w:r>
      <w:rPr>
        <w:b/>
        <w:color w:val="7F7F7F"/>
        <w:sz w:val="16"/>
        <w:szCs w:val="16"/>
      </w:rPr>
      <w:fldChar w:fldCharType="begin"/>
    </w:r>
    <w:r>
      <w:rPr>
        <w:b/>
        <w:color w:val="7F7F7F"/>
        <w:sz w:val="16"/>
        <w:szCs w:val="16"/>
      </w:rPr>
      <w:instrText xml:space="preserve"> PAGE </w:instrText>
    </w:r>
    <w:r>
      <w:rPr>
        <w:b/>
        <w:color w:val="7F7F7F"/>
        <w:sz w:val="16"/>
        <w:szCs w:val="16"/>
      </w:rPr>
      <w:fldChar w:fldCharType="separate"/>
    </w:r>
    <w:r w:rsidR="00706BEA">
      <w:rPr>
        <w:b/>
        <w:noProof/>
        <w:color w:val="7F7F7F"/>
        <w:sz w:val="16"/>
        <w:szCs w:val="16"/>
      </w:rPr>
      <w:t>10</w:t>
    </w:r>
    <w:r>
      <w:rPr>
        <w:b/>
        <w:color w:val="7F7F7F"/>
        <w:sz w:val="16"/>
        <w:szCs w:val="16"/>
      </w:rPr>
      <w:fldChar w:fldCharType="end"/>
    </w:r>
    <w:r w:rsidRPr="000D0170">
      <w:rPr>
        <w:b/>
        <w:color w:val="7F7F7F"/>
        <w:sz w:val="16"/>
        <w:szCs w:val="16"/>
      </w:rPr>
      <w:t xml:space="preserve"> | 10</w:t>
    </w:r>
  </w:p>
  <w:p w14:paraId="3DABA42D" w14:textId="77777777" w:rsidR="005F1FFC" w:rsidRPr="00331423" w:rsidRDefault="005F1FFC" w:rsidP="005F1FFC">
    <w:pPr>
      <w:pStyle w:val="Footer"/>
      <w:rPr>
        <w:rFonts w:eastAsia="MS Gothic"/>
        <w:spacing w:val="-2"/>
        <w:kern w:val="0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B43EA" w14:textId="4124B72B" w:rsidR="00706BEA" w:rsidRDefault="00706BEA">
    <w:pPr>
      <w:pStyle w:val="Footer"/>
      <w:jc w:val="center"/>
      <w:rPr>
        <w:color w:val="000000"/>
        <w:sz w:val="17"/>
        <w:szCs w:val="16"/>
      </w:rPr>
    </w:pPr>
    <w:bookmarkStart w:id="11" w:name="TITUS1FooterPrimary"/>
    <w:r>
      <w:rPr>
        <w:color w:val="000000"/>
        <w:sz w:val="17"/>
        <w:szCs w:val="16"/>
      </w:rPr>
      <w:t> </w:t>
    </w:r>
  </w:p>
  <w:bookmarkEnd w:id="11"/>
  <w:p w14:paraId="4B0318E7" w14:textId="77777777" w:rsidR="00515864" w:rsidRDefault="00515864">
    <w:pPr>
      <w:pStyle w:val="Footer"/>
      <w:jc w:val="center"/>
      <w:rPr>
        <w:color w:val="000000"/>
        <w:sz w:val="17"/>
        <w:szCs w:val="16"/>
      </w:rPr>
    </w:pPr>
    <w:r w:rsidRPr="00BD6CEF">
      <w:rPr>
        <w:color w:val="000000"/>
        <w:sz w:val="17"/>
        <w:szCs w:val="16"/>
      </w:rPr>
      <w:t> </w:t>
    </w:r>
  </w:p>
  <w:p w14:paraId="54C84F7B" w14:textId="2531B8AA" w:rsidR="00887BF7" w:rsidRDefault="00887BF7" w:rsidP="00887BF7">
    <w:pPr>
      <w:pStyle w:val="Footer"/>
      <w:jc w:val="right"/>
      <w:rPr>
        <w:b/>
        <w:color w:val="7F7F7F"/>
        <w:sz w:val="16"/>
        <w:szCs w:val="16"/>
      </w:rPr>
    </w:pPr>
    <w:r>
      <w:rPr>
        <w:b/>
        <w:color w:val="7F7F7F"/>
        <w:sz w:val="16"/>
        <w:szCs w:val="16"/>
      </w:rPr>
      <w:t>Page:</w:t>
    </w:r>
    <w:r w:rsidRPr="000D0170">
      <w:rPr>
        <w:b/>
        <w:color w:val="7F7F7F"/>
        <w:sz w:val="16"/>
        <w:szCs w:val="16"/>
      </w:rPr>
      <w:t xml:space="preserve"> </w:t>
    </w:r>
    <w:r>
      <w:rPr>
        <w:b/>
        <w:color w:val="7F7F7F"/>
        <w:sz w:val="16"/>
        <w:szCs w:val="16"/>
      </w:rPr>
      <w:t xml:space="preserve"> </w:t>
    </w:r>
    <w:r>
      <w:rPr>
        <w:b/>
        <w:color w:val="7F7F7F"/>
        <w:sz w:val="16"/>
        <w:szCs w:val="16"/>
      </w:rPr>
      <w:fldChar w:fldCharType="begin"/>
    </w:r>
    <w:r>
      <w:rPr>
        <w:b/>
        <w:color w:val="7F7F7F"/>
        <w:sz w:val="16"/>
        <w:szCs w:val="16"/>
      </w:rPr>
      <w:instrText xml:space="preserve"> PAGE </w:instrText>
    </w:r>
    <w:r>
      <w:rPr>
        <w:b/>
        <w:color w:val="7F7F7F"/>
        <w:sz w:val="16"/>
        <w:szCs w:val="16"/>
      </w:rPr>
      <w:fldChar w:fldCharType="separate"/>
    </w:r>
    <w:r w:rsidR="00706BEA">
      <w:rPr>
        <w:b/>
        <w:noProof/>
        <w:color w:val="7F7F7F"/>
        <w:sz w:val="16"/>
        <w:szCs w:val="16"/>
      </w:rPr>
      <w:t>7</w:t>
    </w:r>
    <w:r>
      <w:rPr>
        <w:b/>
        <w:color w:val="7F7F7F"/>
        <w:sz w:val="16"/>
        <w:szCs w:val="16"/>
      </w:rPr>
      <w:fldChar w:fldCharType="end"/>
    </w:r>
    <w:r w:rsidRPr="000D0170">
      <w:rPr>
        <w:b/>
        <w:color w:val="7F7F7F"/>
        <w:sz w:val="16"/>
        <w:szCs w:val="16"/>
      </w:rPr>
      <w:t xml:space="preserve"> | 10</w:t>
    </w:r>
  </w:p>
  <w:p w14:paraId="5C641B2F" w14:textId="77777777" w:rsidR="008C2EC3" w:rsidRPr="00331423" w:rsidRDefault="008C2EC3" w:rsidP="008C2EC3">
    <w:pPr>
      <w:pStyle w:val="Footer"/>
      <w:rPr>
        <w:rFonts w:eastAsia="MS Gothic"/>
        <w:spacing w:val="-2"/>
        <w:kern w:val="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57249" w14:textId="580D25BA" w:rsidR="00706BEA" w:rsidRDefault="00706BEA">
    <w:pPr>
      <w:pStyle w:val="Footer"/>
      <w:jc w:val="center"/>
      <w:rPr>
        <w:color w:val="000000"/>
        <w:sz w:val="17"/>
      </w:rPr>
    </w:pPr>
    <w:bookmarkStart w:id="12" w:name="TITUS1FooterFirstPage"/>
    <w:r>
      <w:rPr>
        <w:color w:val="000000"/>
        <w:sz w:val="17"/>
      </w:rPr>
      <w:t> </w:t>
    </w:r>
  </w:p>
  <w:bookmarkEnd w:id="12"/>
  <w:p w14:paraId="4E2C5294" w14:textId="42FA7E9C" w:rsidR="0032259F" w:rsidRDefault="00515864">
    <w:pPr>
      <w:pStyle w:val="Footer"/>
      <w:jc w:val="center"/>
      <w:rPr>
        <w:color w:val="000000"/>
        <w:sz w:val="17"/>
      </w:rPr>
    </w:pPr>
    <w:r w:rsidRPr="00BD6CEF">
      <w:rPr>
        <w:color w:val="000000"/>
        <w:sz w:val="17"/>
      </w:rPr>
      <w:t> </w:t>
    </w:r>
  </w:p>
  <w:p w14:paraId="1ED80C94" w14:textId="77777777" w:rsidR="00515864" w:rsidRDefault="00515864" w:rsidP="00BD6CEF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4A7A2E" w14:textId="77777777" w:rsidR="00255A07" w:rsidRDefault="00255A07">
      <w:r>
        <w:separator/>
      </w:r>
    </w:p>
  </w:footnote>
  <w:footnote w:type="continuationSeparator" w:id="0">
    <w:p w14:paraId="032B2FA5" w14:textId="77777777" w:rsidR="00255A07" w:rsidRDefault="00255A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1A0A2" w14:textId="2E52FA28" w:rsidR="005F1FFC" w:rsidRDefault="005D335F" w:rsidP="005F1FFC">
    <w:pPr>
      <w:pStyle w:val="Header"/>
      <w:tabs>
        <w:tab w:val="clear" w:pos="4252"/>
        <w:tab w:val="clear" w:pos="8504"/>
      </w:tabs>
      <w:rPr>
        <w:sz w:val="10"/>
        <w:szCs w:val="10"/>
      </w:rPr>
    </w:pPr>
    <w:r>
      <w:rPr>
        <w:noProof/>
        <w:sz w:val="10"/>
        <w:szCs w:val="10"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405395B1" wp14:editId="77BB430C">
              <wp:simplePos x="648970" y="256540"/>
              <wp:positionH relativeFrom="page">
                <wp:align>right</wp:align>
              </wp:positionH>
              <wp:positionV relativeFrom="page">
                <wp:align>top</wp:align>
              </wp:positionV>
              <wp:extent cx="1278890" cy="345440"/>
              <wp:effectExtent l="0" t="0" r="0" b="16510"/>
              <wp:wrapNone/>
              <wp:docPr id="1790873818" name="Text Box 2" descr=" Confidential (MB)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889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F04F7E" w14:textId="0C266D6B" w:rsidR="005D335F" w:rsidRPr="005D335F" w:rsidRDefault="005D335F" w:rsidP="005D335F">
                          <w:pPr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</w:rPr>
                          </w:pPr>
                          <w:r w:rsidRPr="005D335F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</w:rPr>
                            <w:t xml:space="preserve"> Confidential (MB)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5395B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 Confidential (MB) " style="position:absolute;left:0;text-align:left;margin-left:49.5pt;margin-top:0;width:100.7pt;height:27.2pt;z-index:251662336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" filled="f" stroked="f">
              <v:textbox style="mso-fit-shape-to-text:t" inset="0,15pt,20pt,0">
                <w:txbxContent>
                  <w:p w14:paraId="46F04F7E" w14:textId="0C266D6B" w:rsidR="005D335F" w:rsidRPr="005D335F" w:rsidRDefault="005D335F" w:rsidP="005D335F">
                    <w:pPr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</w:rPr>
                    </w:pPr>
                    <w:r w:rsidRPr="005D335F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</w:rPr>
                      <w:t xml:space="preserve"> Confidential (MB)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16DE4" w14:textId="62E42AA4" w:rsidR="00525270" w:rsidRDefault="005D335F" w:rsidP="008E4E9A">
    <w:pPr>
      <w:pStyle w:val="Header"/>
      <w:tabs>
        <w:tab w:val="clear" w:pos="4252"/>
        <w:tab w:val="clear" w:pos="8504"/>
      </w:tabs>
      <w:rPr>
        <w:sz w:val="10"/>
        <w:szCs w:val="10"/>
      </w:rPr>
    </w:pPr>
    <w:r>
      <w:rPr>
        <w:noProof/>
        <w:sz w:val="10"/>
        <w:szCs w:val="10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6644AF0A" wp14:editId="501F7B95">
              <wp:simplePos x="635" y="635"/>
              <wp:positionH relativeFrom="page">
                <wp:align>right</wp:align>
              </wp:positionH>
              <wp:positionV relativeFrom="page">
                <wp:align>top</wp:align>
              </wp:positionV>
              <wp:extent cx="1278890" cy="345440"/>
              <wp:effectExtent l="0" t="0" r="0" b="16510"/>
              <wp:wrapNone/>
              <wp:docPr id="230750435" name="Text Box 3" descr=" Confidential (MB) 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7889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43AFAE" w14:textId="4AB75D35" w:rsidR="005D335F" w:rsidRPr="005D335F" w:rsidRDefault="005D335F" w:rsidP="005D335F">
                          <w:pPr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</w:rPr>
                          </w:pPr>
                          <w:r w:rsidRPr="005D335F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</w:rPr>
                            <w:t xml:space="preserve"> Confidential (MB)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44AF0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 Confidential (MB) " style="position:absolute;left:0;text-align:left;margin-left:49.5pt;margin-top:0;width:100.7pt;height:27.2pt;z-index:251663360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" filled="f" stroked="f">
              <v:textbox style="mso-fit-shape-to-text:t" inset="0,15pt,20pt,0">
                <w:txbxContent>
                  <w:p w14:paraId="0743AFAE" w14:textId="4AB75D35" w:rsidR="005D335F" w:rsidRPr="005D335F" w:rsidRDefault="005D335F" w:rsidP="005D335F">
                    <w:pPr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</w:rPr>
                    </w:pPr>
                    <w:r w:rsidRPr="005D335F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</w:rPr>
                      <w:t xml:space="preserve"> Confidential (MB)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70"/>
      <w:gridCol w:w="4871"/>
    </w:tblGrid>
    <w:tr w:rsidR="00525270" w14:paraId="69D744BC" w14:textId="77777777" w:rsidTr="00893D8D">
      <w:tc>
        <w:tcPr>
          <w:tcW w:w="4870" w:type="dxa"/>
        </w:tcPr>
        <w:p w14:paraId="2FAD0429" w14:textId="34CA4C6A" w:rsidR="00525270" w:rsidRDefault="005D335F">
          <w:pPr>
            <w:pStyle w:val="Header"/>
          </w:pPr>
          <w:r>
            <w:rPr>
              <w:noProof/>
              <w:lang w:val="pt-BR" w:eastAsia="pt-BR"/>
            </w:rPr>
            <mc:AlternateContent>
              <mc:Choice Requires="wps">
                <w:drawing>
                  <wp:anchor distT="0" distB="0" distL="0" distR="0" simplePos="0" relativeHeight="251661312" behindDoc="0" locked="0" layoutInCell="1" allowOverlap="1" wp14:anchorId="4FE23E7F" wp14:editId="39FB0F39">
                    <wp:simplePos x="714375" y="257175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1278890" cy="345440"/>
                    <wp:effectExtent l="0" t="0" r="0" b="16510"/>
                    <wp:wrapNone/>
                    <wp:docPr id="658381355" name="Text Box 1" descr=" Confidential (MB) 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278890" cy="3454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6216762" w14:textId="102CFAAA" w:rsidR="005D335F" w:rsidRPr="005D335F" w:rsidRDefault="005D335F" w:rsidP="005D335F">
                                <w:pPr>
                                  <w:rPr>
                                    <w:rFonts w:ascii="Aptos" w:eastAsia="Aptos" w:hAnsi="Aptos" w:cs="Aptos"/>
                                    <w:noProof/>
                                    <w:color w:val="FF0000"/>
                                    <w:sz w:val="2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none" lIns="0" tIns="190500" rIns="2540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FE23E7F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" o:spid="_x0000_s1028" type="#_x0000_t202" alt=" Confidential (MB) " style="position:absolute;left:0;text-align:left;margin-left:49.5pt;margin-top:0;width:100.7pt;height:27.2pt;z-index:251661312;visibility:visible;mso-wrap-style:none;mso-wrap-distance-left:0;mso-wrap-distance-top:0;mso-wrap-distance-right:0;mso-wrap-distance-bottom:0;mso-position-horizontal:righ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" filled="f" stroked="f">
                    <v:textbox style="mso-fit-shape-to-text:t" inset="0,15pt,20pt,0">
                      <w:txbxContent>
                        <w:p w14:paraId="46216762" w14:textId="102CFAAA" w:rsidR="005D335F" w:rsidRPr="005D335F" w:rsidRDefault="005D335F" w:rsidP="005D335F">
                          <w:pPr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</w:rPr>
                          </w:pPr>
                        </w:p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="00525270" w:rsidRPr="00893D8D">
            <w:rPr>
              <w:noProof/>
              <w:lang w:val="pt-BR" w:eastAsia="pt-BR"/>
            </w:rPr>
            <w:drawing>
              <wp:anchor distT="0" distB="0" distL="114300" distR="114300" simplePos="0" relativeHeight="251659264" behindDoc="1" locked="0" layoutInCell="1" allowOverlap="0" wp14:anchorId="21EDDCB8" wp14:editId="3D3938C4">
                <wp:simplePos x="0" y="0"/>
                <wp:positionH relativeFrom="column">
                  <wp:posOffset>-65405</wp:posOffset>
                </wp:positionH>
                <wp:positionV relativeFrom="paragraph">
                  <wp:posOffset>5715</wp:posOffset>
                </wp:positionV>
                <wp:extent cx="1515745" cy="619760"/>
                <wp:effectExtent l="0" t="0" r="8255" b="8890"/>
                <wp:wrapTight wrapText="bothSides">
                  <wp:wrapPolygon edited="0">
                    <wp:start x="0" y="0"/>
                    <wp:lineTo x="0" y="21246"/>
                    <wp:lineTo x="21446" y="21246"/>
                    <wp:lineTo x="21446" y="0"/>
                    <wp:lineTo x="0" y="0"/>
                  </wp:wrapPolygon>
                </wp:wrapTight>
                <wp:docPr id="9" name="Picture 19" descr="Logo_01BL_Bsc_Pos_Rg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9" descr="Logo_01BL_Bsc_Pos_Rg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15745" cy="61976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871" w:type="dxa"/>
        </w:tcPr>
        <w:p w14:paraId="1B85749C" w14:textId="77777777" w:rsidR="00525270" w:rsidRDefault="00525270">
          <w:pPr>
            <w:pStyle w:val="Header"/>
          </w:pPr>
          <w:r w:rsidRPr="00893D8D">
            <w:rPr>
              <w:noProof/>
              <w:lang w:val="pt-BR" w:eastAsia="pt-BR"/>
            </w:rPr>
            <w:drawing>
              <wp:anchor distT="0" distB="0" distL="114300" distR="114300" simplePos="0" relativeHeight="251660288" behindDoc="0" locked="0" layoutInCell="1" allowOverlap="1" wp14:anchorId="57437A56" wp14:editId="52B92BDA">
                <wp:simplePos x="0" y="0"/>
                <wp:positionH relativeFrom="column">
                  <wp:posOffset>1116330</wp:posOffset>
                </wp:positionH>
                <wp:positionV relativeFrom="paragraph">
                  <wp:posOffset>215900</wp:posOffset>
                </wp:positionV>
                <wp:extent cx="1895475" cy="200025"/>
                <wp:effectExtent l="0" t="0" r="9525" b="9525"/>
                <wp:wrapSquare wrapText="bothSides"/>
                <wp:docPr id="10" name="Picture 20" descr="Logo_BancoMizuhoDoBrasilSA_PB_300dp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 descr="Logo_BancoMizuhoDoBrasilSA_PB_300dp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95475" cy="2000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0274C5C1" w14:textId="77777777" w:rsidR="00525270" w:rsidRDefault="0052527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76B65"/>
    <w:multiLevelType w:val="hybridMultilevel"/>
    <w:tmpl w:val="F18E654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47366"/>
    <w:multiLevelType w:val="hybridMultilevel"/>
    <w:tmpl w:val="D7BE2522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7833482"/>
    <w:multiLevelType w:val="hybridMultilevel"/>
    <w:tmpl w:val="DBDE51A0"/>
    <w:lvl w:ilvl="0" w:tplc="72C43646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E8989C6C">
      <w:start w:val="1"/>
      <w:numFmt w:val="lowerRoman"/>
      <w:lvlText w:val="(%2)"/>
      <w:lvlJc w:val="left"/>
      <w:pPr>
        <w:ind w:left="1723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1F6E00F3"/>
    <w:multiLevelType w:val="hybridMultilevel"/>
    <w:tmpl w:val="CFC68896"/>
    <w:lvl w:ilvl="0" w:tplc="9FA2AC4E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1FE6053A"/>
    <w:multiLevelType w:val="hybridMultilevel"/>
    <w:tmpl w:val="8702F9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525760">
      <w:numFmt w:val="bullet"/>
      <w:lvlText w:val="-"/>
      <w:lvlJc w:val="left"/>
      <w:pPr>
        <w:ind w:left="1440" w:hanging="360"/>
      </w:pPr>
      <w:rPr>
        <w:rFonts w:ascii="Calibri Light" w:eastAsia="平成明朝" w:hAnsi="Calibri Light" w:cs="Calibri Light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283DEC"/>
    <w:multiLevelType w:val="multilevel"/>
    <w:tmpl w:val="F30A82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pStyle w:val="Style2"/>
      <w:lvlText w:val="%1.%2."/>
      <w:lvlJc w:val="left"/>
      <w:pPr>
        <w:tabs>
          <w:tab w:val="num" w:pos="2700"/>
        </w:tabs>
        <w:ind w:left="2700" w:hanging="432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2BC0146D"/>
    <w:multiLevelType w:val="hybridMultilevel"/>
    <w:tmpl w:val="B400E1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044911"/>
    <w:multiLevelType w:val="hybridMultilevel"/>
    <w:tmpl w:val="BB065EA8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4153864"/>
    <w:multiLevelType w:val="hybridMultilevel"/>
    <w:tmpl w:val="163A2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887DC5"/>
    <w:multiLevelType w:val="hybridMultilevel"/>
    <w:tmpl w:val="6ABAEF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8B5D27"/>
    <w:multiLevelType w:val="hybridMultilevel"/>
    <w:tmpl w:val="FE36F6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6E8A28">
      <w:numFmt w:val="bullet"/>
      <w:lvlText w:val="•"/>
      <w:lvlJc w:val="left"/>
      <w:pPr>
        <w:ind w:left="1935" w:hanging="855"/>
      </w:pPr>
      <w:rPr>
        <w:rFonts w:ascii="Calibri Light" w:eastAsia="平成明朝" w:hAnsi="Calibri Light" w:cs="Calibri Light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4B2B89"/>
    <w:multiLevelType w:val="multilevel"/>
    <w:tmpl w:val="42C86C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12" w15:restartNumberingAfterBreak="0">
    <w:nsid w:val="4EA14C00"/>
    <w:multiLevelType w:val="hybridMultilevel"/>
    <w:tmpl w:val="F00E0AE6"/>
    <w:lvl w:ilvl="0" w:tplc="1A30FBCE">
      <w:start w:val="1"/>
      <w:numFmt w:val="upperLetter"/>
      <w:lvlText w:val="%1)"/>
      <w:lvlJc w:val="left"/>
      <w:pPr>
        <w:ind w:left="643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729075E6">
      <w:start w:val="1"/>
      <w:numFmt w:val="decimal"/>
      <w:lvlText w:val="%3)"/>
      <w:lvlJc w:val="left"/>
      <w:pPr>
        <w:ind w:left="2263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3" w15:restartNumberingAfterBreak="0">
    <w:nsid w:val="56734A76"/>
    <w:multiLevelType w:val="hybridMultilevel"/>
    <w:tmpl w:val="92AAED3A"/>
    <w:lvl w:ilvl="0" w:tplc="E8FA74C2">
      <w:numFmt w:val="bullet"/>
      <w:lvlText w:val="-"/>
      <w:lvlJc w:val="left"/>
      <w:pPr>
        <w:ind w:left="720" w:hanging="360"/>
      </w:pPr>
      <w:rPr>
        <w:rFonts w:ascii="Calibri Light" w:eastAsia="平成明朝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7C3E64"/>
    <w:multiLevelType w:val="hybridMultilevel"/>
    <w:tmpl w:val="9964FE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497911"/>
    <w:multiLevelType w:val="hybridMultilevel"/>
    <w:tmpl w:val="B268F2EA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03E3C72"/>
    <w:multiLevelType w:val="hybridMultilevel"/>
    <w:tmpl w:val="781ADB44"/>
    <w:lvl w:ilvl="0" w:tplc="6EB0D546">
      <w:numFmt w:val="bullet"/>
      <w:lvlText w:val="-"/>
      <w:lvlJc w:val="left"/>
      <w:pPr>
        <w:ind w:left="720" w:hanging="360"/>
      </w:pPr>
      <w:rPr>
        <w:rFonts w:ascii="Calibri Light" w:eastAsia="平成明朝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6464D4"/>
    <w:multiLevelType w:val="hybridMultilevel"/>
    <w:tmpl w:val="B5C4D6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9778FD"/>
    <w:multiLevelType w:val="hybridMultilevel"/>
    <w:tmpl w:val="A88447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0E4AD8"/>
    <w:multiLevelType w:val="hybridMultilevel"/>
    <w:tmpl w:val="FDB8FF2C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2CA74A7"/>
    <w:multiLevelType w:val="hybridMultilevel"/>
    <w:tmpl w:val="A37C6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F525760">
      <w:numFmt w:val="bullet"/>
      <w:lvlText w:val="-"/>
      <w:lvlJc w:val="left"/>
      <w:pPr>
        <w:ind w:left="1440" w:hanging="360"/>
      </w:pPr>
      <w:rPr>
        <w:rFonts w:ascii="Calibri Light" w:eastAsia="平成明朝" w:hAnsi="Calibri Light" w:cs="Calibri Light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097F4F"/>
    <w:multiLevelType w:val="hybridMultilevel"/>
    <w:tmpl w:val="79647710"/>
    <w:lvl w:ilvl="0" w:tplc="0D525962">
      <w:start w:val="10"/>
      <w:numFmt w:val="bullet"/>
      <w:lvlText w:val=""/>
      <w:lvlJc w:val="left"/>
      <w:pPr>
        <w:ind w:left="720" w:hanging="360"/>
      </w:pPr>
      <w:rPr>
        <w:rFonts w:ascii="Wingdings" w:eastAsia="平成明朝" w:hAnsi="Wingdings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AC378C"/>
    <w:multiLevelType w:val="multilevel"/>
    <w:tmpl w:val="75304DC2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pStyle w:val="Heading3"/>
      <w:lvlText w:val="%1.%2.%3"/>
      <w:lvlJc w:val="left"/>
      <w:pPr>
        <w:ind w:left="1004" w:hanging="720"/>
      </w:pPr>
      <w:rPr>
        <w:rFonts w:asciiTheme="majorHAnsi" w:hAnsiTheme="majorHAnsi" w:cstheme="majorHAnsi" w:hint="default"/>
        <w:b w:val="0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cs="Times New Roman"/>
      </w:rPr>
    </w:lvl>
  </w:abstractNum>
  <w:num w:numId="1" w16cid:durableId="149446493">
    <w:abstractNumId w:val="22"/>
  </w:num>
  <w:num w:numId="2" w16cid:durableId="219680738">
    <w:abstractNumId w:val="5"/>
  </w:num>
  <w:num w:numId="3" w16cid:durableId="1830517814">
    <w:abstractNumId w:val="2"/>
  </w:num>
  <w:num w:numId="4" w16cid:durableId="927227726">
    <w:abstractNumId w:val="12"/>
  </w:num>
  <w:num w:numId="5" w16cid:durableId="314922266">
    <w:abstractNumId w:val="18"/>
  </w:num>
  <w:num w:numId="6" w16cid:durableId="1228615589">
    <w:abstractNumId w:val="3"/>
  </w:num>
  <w:num w:numId="7" w16cid:durableId="1295795514">
    <w:abstractNumId w:val="21"/>
  </w:num>
  <w:num w:numId="8" w16cid:durableId="351761712">
    <w:abstractNumId w:val="22"/>
  </w:num>
  <w:num w:numId="9" w16cid:durableId="1742828304">
    <w:abstractNumId w:val="16"/>
  </w:num>
  <w:num w:numId="10" w16cid:durableId="1049106233">
    <w:abstractNumId w:val="13"/>
  </w:num>
  <w:num w:numId="11" w16cid:durableId="827669736">
    <w:abstractNumId w:val="20"/>
  </w:num>
  <w:num w:numId="12" w16cid:durableId="1106777099">
    <w:abstractNumId w:val="4"/>
  </w:num>
  <w:num w:numId="13" w16cid:durableId="823935890">
    <w:abstractNumId w:val="15"/>
  </w:num>
  <w:num w:numId="14" w16cid:durableId="1724789453">
    <w:abstractNumId w:val="7"/>
  </w:num>
  <w:num w:numId="15" w16cid:durableId="657195810">
    <w:abstractNumId w:val="19"/>
  </w:num>
  <w:num w:numId="16" w16cid:durableId="343867457">
    <w:abstractNumId w:val="1"/>
  </w:num>
  <w:num w:numId="17" w16cid:durableId="2035106749">
    <w:abstractNumId w:val="14"/>
  </w:num>
  <w:num w:numId="18" w16cid:durableId="397217289">
    <w:abstractNumId w:val="8"/>
  </w:num>
  <w:num w:numId="19" w16cid:durableId="405227714">
    <w:abstractNumId w:val="17"/>
  </w:num>
  <w:num w:numId="20" w16cid:durableId="660428325">
    <w:abstractNumId w:val="0"/>
  </w:num>
  <w:num w:numId="21" w16cid:durableId="1435054578">
    <w:abstractNumId w:val="22"/>
  </w:num>
  <w:num w:numId="22" w16cid:durableId="1877233531">
    <w:abstractNumId w:val="10"/>
  </w:num>
  <w:num w:numId="23" w16cid:durableId="997070848">
    <w:abstractNumId w:val="11"/>
  </w:num>
  <w:num w:numId="24" w16cid:durableId="89592084">
    <w:abstractNumId w:val="6"/>
  </w:num>
  <w:num w:numId="25" w16cid:durableId="1669476305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851"/>
  <w:hyphenationZone w:val="425"/>
  <w:evenAndOddHeaders/>
  <w:drawingGridHorizontalSpacing w:val="110"/>
  <w:drawingGridVerticalSpacing w:val="200"/>
  <w:displayHorizontalDrawingGridEvery w:val="0"/>
  <w:displayVerticalDrawingGridEvery w:val="2"/>
  <w:characterSpacingControl w:val="compressPunctuation"/>
  <w:noLineBreaksAfter w:lang="ja-JP" w:val="$([\{£¥‘“〈《「『【〔＄（［｛｢￥"/>
  <w:noLineBreaksBefore w:lang="ja-JP" w:val="!%),.:;?]}¢°’”‰′″℃、。々〉》」』】〕゛゜ゝゞ・ヽヾ！％），．：；？］｝｡｣､･ﾞﾟ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F93"/>
    <w:rsid w:val="00007375"/>
    <w:rsid w:val="00010883"/>
    <w:rsid w:val="0001115A"/>
    <w:rsid w:val="0002029D"/>
    <w:rsid w:val="000230D2"/>
    <w:rsid w:val="0003058C"/>
    <w:rsid w:val="00036B4A"/>
    <w:rsid w:val="000411E1"/>
    <w:rsid w:val="00041AC5"/>
    <w:rsid w:val="0005349D"/>
    <w:rsid w:val="00065276"/>
    <w:rsid w:val="000776C7"/>
    <w:rsid w:val="000847D4"/>
    <w:rsid w:val="00094463"/>
    <w:rsid w:val="0009680A"/>
    <w:rsid w:val="000A12E4"/>
    <w:rsid w:val="000B5B69"/>
    <w:rsid w:val="000C0598"/>
    <w:rsid w:val="000C4AD7"/>
    <w:rsid w:val="000D3386"/>
    <w:rsid w:val="000D700F"/>
    <w:rsid w:val="000F0847"/>
    <w:rsid w:val="000F4C3F"/>
    <w:rsid w:val="00132051"/>
    <w:rsid w:val="001349BE"/>
    <w:rsid w:val="00143B1B"/>
    <w:rsid w:val="00143ECB"/>
    <w:rsid w:val="0015412D"/>
    <w:rsid w:val="00163182"/>
    <w:rsid w:val="0016542C"/>
    <w:rsid w:val="0017667C"/>
    <w:rsid w:val="00177AA4"/>
    <w:rsid w:val="0018192D"/>
    <w:rsid w:val="001832BF"/>
    <w:rsid w:val="00194400"/>
    <w:rsid w:val="001A0CFA"/>
    <w:rsid w:val="001A3601"/>
    <w:rsid w:val="001A3D22"/>
    <w:rsid w:val="001A52FA"/>
    <w:rsid w:val="001A7C1F"/>
    <w:rsid w:val="001B1A5F"/>
    <w:rsid w:val="001C0B98"/>
    <w:rsid w:val="001C2711"/>
    <w:rsid w:val="001D74E9"/>
    <w:rsid w:val="001E6462"/>
    <w:rsid w:val="001E73FF"/>
    <w:rsid w:val="001E7CCE"/>
    <w:rsid w:val="001F37C2"/>
    <w:rsid w:val="001F5F5D"/>
    <w:rsid w:val="00203689"/>
    <w:rsid w:val="00210796"/>
    <w:rsid w:val="002111BF"/>
    <w:rsid w:val="00215096"/>
    <w:rsid w:val="00215B18"/>
    <w:rsid w:val="0022349B"/>
    <w:rsid w:val="002303E8"/>
    <w:rsid w:val="002334C8"/>
    <w:rsid w:val="00244814"/>
    <w:rsid w:val="002470A3"/>
    <w:rsid w:val="00255A07"/>
    <w:rsid w:val="00257C54"/>
    <w:rsid w:val="0026136B"/>
    <w:rsid w:val="0027342A"/>
    <w:rsid w:val="00286553"/>
    <w:rsid w:val="002935D7"/>
    <w:rsid w:val="002A17B4"/>
    <w:rsid w:val="002A5B01"/>
    <w:rsid w:val="002A7FDF"/>
    <w:rsid w:val="002B071C"/>
    <w:rsid w:val="002B3DD3"/>
    <w:rsid w:val="002C0DC7"/>
    <w:rsid w:val="002C7213"/>
    <w:rsid w:val="002C7B96"/>
    <w:rsid w:val="002E270E"/>
    <w:rsid w:val="002E4E35"/>
    <w:rsid w:val="002E4E62"/>
    <w:rsid w:val="002F0869"/>
    <w:rsid w:val="002F5D3E"/>
    <w:rsid w:val="002F689E"/>
    <w:rsid w:val="002F6CD7"/>
    <w:rsid w:val="00301964"/>
    <w:rsid w:val="0031796D"/>
    <w:rsid w:val="0032259F"/>
    <w:rsid w:val="00325F82"/>
    <w:rsid w:val="00331423"/>
    <w:rsid w:val="003316D2"/>
    <w:rsid w:val="00336DFF"/>
    <w:rsid w:val="0034379D"/>
    <w:rsid w:val="00345F93"/>
    <w:rsid w:val="003608A6"/>
    <w:rsid w:val="00360C78"/>
    <w:rsid w:val="00362E92"/>
    <w:rsid w:val="003665F5"/>
    <w:rsid w:val="00371289"/>
    <w:rsid w:val="003713D8"/>
    <w:rsid w:val="0037599B"/>
    <w:rsid w:val="00393ADD"/>
    <w:rsid w:val="0039448C"/>
    <w:rsid w:val="0039645B"/>
    <w:rsid w:val="003A6829"/>
    <w:rsid w:val="003A6C07"/>
    <w:rsid w:val="003A6DB7"/>
    <w:rsid w:val="003A7490"/>
    <w:rsid w:val="003A79C3"/>
    <w:rsid w:val="003B406F"/>
    <w:rsid w:val="003C58CD"/>
    <w:rsid w:val="003C6757"/>
    <w:rsid w:val="003C7350"/>
    <w:rsid w:val="003E3BB2"/>
    <w:rsid w:val="003E424A"/>
    <w:rsid w:val="003E65B0"/>
    <w:rsid w:val="003F19EC"/>
    <w:rsid w:val="003F430A"/>
    <w:rsid w:val="003F5A1F"/>
    <w:rsid w:val="004018FB"/>
    <w:rsid w:val="00406B00"/>
    <w:rsid w:val="00413337"/>
    <w:rsid w:val="00424B75"/>
    <w:rsid w:val="00424C02"/>
    <w:rsid w:val="0044151D"/>
    <w:rsid w:val="00445E98"/>
    <w:rsid w:val="00446E15"/>
    <w:rsid w:val="00451AC9"/>
    <w:rsid w:val="004525FC"/>
    <w:rsid w:val="00455C7D"/>
    <w:rsid w:val="00456AFE"/>
    <w:rsid w:val="004604C5"/>
    <w:rsid w:val="00475BEC"/>
    <w:rsid w:val="004839A3"/>
    <w:rsid w:val="00487C95"/>
    <w:rsid w:val="004912DA"/>
    <w:rsid w:val="004919CE"/>
    <w:rsid w:val="004B0865"/>
    <w:rsid w:val="004B0D5B"/>
    <w:rsid w:val="004B4A3E"/>
    <w:rsid w:val="004C10AD"/>
    <w:rsid w:val="004D0183"/>
    <w:rsid w:val="004D1B9A"/>
    <w:rsid w:val="004D37F3"/>
    <w:rsid w:val="004E0953"/>
    <w:rsid w:val="004E4C23"/>
    <w:rsid w:val="004E7A8C"/>
    <w:rsid w:val="004F00D7"/>
    <w:rsid w:val="0050134F"/>
    <w:rsid w:val="00506D31"/>
    <w:rsid w:val="00507006"/>
    <w:rsid w:val="00507FD3"/>
    <w:rsid w:val="00514D3F"/>
    <w:rsid w:val="005153F0"/>
    <w:rsid w:val="00515864"/>
    <w:rsid w:val="00525270"/>
    <w:rsid w:val="00525285"/>
    <w:rsid w:val="005420C8"/>
    <w:rsid w:val="00562793"/>
    <w:rsid w:val="00570E80"/>
    <w:rsid w:val="00582EEF"/>
    <w:rsid w:val="00584F6F"/>
    <w:rsid w:val="0059570F"/>
    <w:rsid w:val="00596082"/>
    <w:rsid w:val="005A20F0"/>
    <w:rsid w:val="005A4041"/>
    <w:rsid w:val="005A5BB4"/>
    <w:rsid w:val="005B59B8"/>
    <w:rsid w:val="005D03B5"/>
    <w:rsid w:val="005D335F"/>
    <w:rsid w:val="005D44DF"/>
    <w:rsid w:val="005D73BC"/>
    <w:rsid w:val="005E304A"/>
    <w:rsid w:val="005E3A25"/>
    <w:rsid w:val="005E40DA"/>
    <w:rsid w:val="005E43C4"/>
    <w:rsid w:val="005F1FFC"/>
    <w:rsid w:val="0060372A"/>
    <w:rsid w:val="00610A16"/>
    <w:rsid w:val="00635B0E"/>
    <w:rsid w:val="00654881"/>
    <w:rsid w:val="00667B6B"/>
    <w:rsid w:val="0067158E"/>
    <w:rsid w:val="00671DCE"/>
    <w:rsid w:val="00672195"/>
    <w:rsid w:val="00676DA3"/>
    <w:rsid w:val="00691F44"/>
    <w:rsid w:val="00694840"/>
    <w:rsid w:val="00696CDE"/>
    <w:rsid w:val="006A42C6"/>
    <w:rsid w:val="006A7B4A"/>
    <w:rsid w:val="006C5E78"/>
    <w:rsid w:val="006C733E"/>
    <w:rsid w:val="006D1F53"/>
    <w:rsid w:val="006E0B57"/>
    <w:rsid w:val="006E1407"/>
    <w:rsid w:val="006E1F49"/>
    <w:rsid w:val="006F3505"/>
    <w:rsid w:val="006F644F"/>
    <w:rsid w:val="00702754"/>
    <w:rsid w:val="00706BEA"/>
    <w:rsid w:val="007103B7"/>
    <w:rsid w:val="00721067"/>
    <w:rsid w:val="00721F16"/>
    <w:rsid w:val="007246D1"/>
    <w:rsid w:val="00734631"/>
    <w:rsid w:val="0074146F"/>
    <w:rsid w:val="00746184"/>
    <w:rsid w:val="0074670E"/>
    <w:rsid w:val="00766DE0"/>
    <w:rsid w:val="00771ECA"/>
    <w:rsid w:val="0078765F"/>
    <w:rsid w:val="00792296"/>
    <w:rsid w:val="007924F6"/>
    <w:rsid w:val="007A04F6"/>
    <w:rsid w:val="007A0D07"/>
    <w:rsid w:val="007A1197"/>
    <w:rsid w:val="007A1C42"/>
    <w:rsid w:val="007A1DAF"/>
    <w:rsid w:val="007B0EC5"/>
    <w:rsid w:val="007B10BA"/>
    <w:rsid w:val="007B44C1"/>
    <w:rsid w:val="007C0C5C"/>
    <w:rsid w:val="007C1492"/>
    <w:rsid w:val="007C7116"/>
    <w:rsid w:val="007C7669"/>
    <w:rsid w:val="007E1938"/>
    <w:rsid w:val="007E2FC2"/>
    <w:rsid w:val="007F7621"/>
    <w:rsid w:val="008108AE"/>
    <w:rsid w:val="00811907"/>
    <w:rsid w:val="00833F15"/>
    <w:rsid w:val="0083671B"/>
    <w:rsid w:val="00840CDF"/>
    <w:rsid w:val="00846C48"/>
    <w:rsid w:val="00847CB3"/>
    <w:rsid w:val="008607B8"/>
    <w:rsid w:val="0086173A"/>
    <w:rsid w:val="00862AF5"/>
    <w:rsid w:val="008646D5"/>
    <w:rsid w:val="00865691"/>
    <w:rsid w:val="00866D55"/>
    <w:rsid w:val="008676B2"/>
    <w:rsid w:val="00872BB2"/>
    <w:rsid w:val="008748B1"/>
    <w:rsid w:val="008841AC"/>
    <w:rsid w:val="00885A46"/>
    <w:rsid w:val="00887BF7"/>
    <w:rsid w:val="00893D8D"/>
    <w:rsid w:val="008B718E"/>
    <w:rsid w:val="008C1C99"/>
    <w:rsid w:val="008C2EC3"/>
    <w:rsid w:val="008D487C"/>
    <w:rsid w:val="008E3DE3"/>
    <w:rsid w:val="008E4E9A"/>
    <w:rsid w:val="008E670F"/>
    <w:rsid w:val="008F02E7"/>
    <w:rsid w:val="008F0EFA"/>
    <w:rsid w:val="0090621B"/>
    <w:rsid w:val="00910928"/>
    <w:rsid w:val="00921203"/>
    <w:rsid w:val="009334F8"/>
    <w:rsid w:val="00942796"/>
    <w:rsid w:val="00944C91"/>
    <w:rsid w:val="00945822"/>
    <w:rsid w:val="0095796E"/>
    <w:rsid w:val="00971EA4"/>
    <w:rsid w:val="009751F7"/>
    <w:rsid w:val="00975B80"/>
    <w:rsid w:val="009A2B48"/>
    <w:rsid w:val="009A62FA"/>
    <w:rsid w:val="009A68A5"/>
    <w:rsid w:val="009B1DEF"/>
    <w:rsid w:val="009B6937"/>
    <w:rsid w:val="009B7DCC"/>
    <w:rsid w:val="009C697A"/>
    <w:rsid w:val="009C6F0A"/>
    <w:rsid w:val="009D2587"/>
    <w:rsid w:val="009D25D8"/>
    <w:rsid w:val="009D569B"/>
    <w:rsid w:val="009E4A89"/>
    <w:rsid w:val="009F2238"/>
    <w:rsid w:val="009F287B"/>
    <w:rsid w:val="00A03859"/>
    <w:rsid w:val="00A07E56"/>
    <w:rsid w:val="00A1192D"/>
    <w:rsid w:val="00A135FB"/>
    <w:rsid w:val="00A14864"/>
    <w:rsid w:val="00A15FE6"/>
    <w:rsid w:val="00A17049"/>
    <w:rsid w:val="00A20003"/>
    <w:rsid w:val="00A269CE"/>
    <w:rsid w:val="00A3389C"/>
    <w:rsid w:val="00A40D93"/>
    <w:rsid w:val="00A47508"/>
    <w:rsid w:val="00A50BB4"/>
    <w:rsid w:val="00A569C9"/>
    <w:rsid w:val="00A661A2"/>
    <w:rsid w:val="00A7107E"/>
    <w:rsid w:val="00A738A2"/>
    <w:rsid w:val="00A760FE"/>
    <w:rsid w:val="00A776F5"/>
    <w:rsid w:val="00A90CF2"/>
    <w:rsid w:val="00AA6DC5"/>
    <w:rsid w:val="00AC550D"/>
    <w:rsid w:val="00AD2EBE"/>
    <w:rsid w:val="00AD377A"/>
    <w:rsid w:val="00AD5FD6"/>
    <w:rsid w:val="00AE479E"/>
    <w:rsid w:val="00AE7586"/>
    <w:rsid w:val="00AF7DE7"/>
    <w:rsid w:val="00B12C91"/>
    <w:rsid w:val="00B30EB4"/>
    <w:rsid w:val="00B4646D"/>
    <w:rsid w:val="00B46A8F"/>
    <w:rsid w:val="00B46FB4"/>
    <w:rsid w:val="00B5241A"/>
    <w:rsid w:val="00B5316B"/>
    <w:rsid w:val="00B565EE"/>
    <w:rsid w:val="00B5774F"/>
    <w:rsid w:val="00B57FF2"/>
    <w:rsid w:val="00B65B40"/>
    <w:rsid w:val="00B7302E"/>
    <w:rsid w:val="00B74B2D"/>
    <w:rsid w:val="00B75111"/>
    <w:rsid w:val="00B76409"/>
    <w:rsid w:val="00B85360"/>
    <w:rsid w:val="00B86C06"/>
    <w:rsid w:val="00B87AC5"/>
    <w:rsid w:val="00B94316"/>
    <w:rsid w:val="00B95AD4"/>
    <w:rsid w:val="00B96638"/>
    <w:rsid w:val="00BA2C89"/>
    <w:rsid w:val="00BA61CE"/>
    <w:rsid w:val="00BB18AB"/>
    <w:rsid w:val="00BC0AF6"/>
    <w:rsid w:val="00BC4C7B"/>
    <w:rsid w:val="00BC6419"/>
    <w:rsid w:val="00BC68CF"/>
    <w:rsid w:val="00BC7782"/>
    <w:rsid w:val="00BD1375"/>
    <w:rsid w:val="00BD6CEF"/>
    <w:rsid w:val="00BE1E59"/>
    <w:rsid w:val="00BE3651"/>
    <w:rsid w:val="00BE6482"/>
    <w:rsid w:val="00BF04FB"/>
    <w:rsid w:val="00BF29C3"/>
    <w:rsid w:val="00C030B6"/>
    <w:rsid w:val="00C03631"/>
    <w:rsid w:val="00C03FEA"/>
    <w:rsid w:val="00C124AC"/>
    <w:rsid w:val="00C20423"/>
    <w:rsid w:val="00C20501"/>
    <w:rsid w:val="00C208F2"/>
    <w:rsid w:val="00C23A40"/>
    <w:rsid w:val="00C24DBB"/>
    <w:rsid w:val="00C30293"/>
    <w:rsid w:val="00C329F9"/>
    <w:rsid w:val="00C41D8A"/>
    <w:rsid w:val="00C425F4"/>
    <w:rsid w:val="00C53C58"/>
    <w:rsid w:val="00C576AF"/>
    <w:rsid w:val="00C623DE"/>
    <w:rsid w:val="00C669AA"/>
    <w:rsid w:val="00C71949"/>
    <w:rsid w:val="00C729B1"/>
    <w:rsid w:val="00C74B00"/>
    <w:rsid w:val="00C85A9D"/>
    <w:rsid w:val="00C87A84"/>
    <w:rsid w:val="00C94033"/>
    <w:rsid w:val="00C94C2A"/>
    <w:rsid w:val="00CA4ED9"/>
    <w:rsid w:val="00CA6865"/>
    <w:rsid w:val="00CB2512"/>
    <w:rsid w:val="00CB760C"/>
    <w:rsid w:val="00CD6F87"/>
    <w:rsid w:val="00CE6399"/>
    <w:rsid w:val="00CF33A9"/>
    <w:rsid w:val="00CF6ADD"/>
    <w:rsid w:val="00D01B75"/>
    <w:rsid w:val="00D022AE"/>
    <w:rsid w:val="00D13CC6"/>
    <w:rsid w:val="00D140FD"/>
    <w:rsid w:val="00D15CD7"/>
    <w:rsid w:val="00D16D45"/>
    <w:rsid w:val="00D262FE"/>
    <w:rsid w:val="00D34FA1"/>
    <w:rsid w:val="00D36BCB"/>
    <w:rsid w:val="00D45E79"/>
    <w:rsid w:val="00D53F5D"/>
    <w:rsid w:val="00D60868"/>
    <w:rsid w:val="00D617DF"/>
    <w:rsid w:val="00D63CB9"/>
    <w:rsid w:val="00D64E38"/>
    <w:rsid w:val="00D70D9B"/>
    <w:rsid w:val="00D71105"/>
    <w:rsid w:val="00D72ADE"/>
    <w:rsid w:val="00D72E09"/>
    <w:rsid w:val="00D76392"/>
    <w:rsid w:val="00D83873"/>
    <w:rsid w:val="00D84ED5"/>
    <w:rsid w:val="00D924E9"/>
    <w:rsid w:val="00DA0F95"/>
    <w:rsid w:val="00DA657D"/>
    <w:rsid w:val="00DA6998"/>
    <w:rsid w:val="00DA7FA9"/>
    <w:rsid w:val="00DB2784"/>
    <w:rsid w:val="00DB502B"/>
    <w:rsid w:val="00DC1BA7"/>
    <w:rsid w:val="00DC7957"/>
    <w:rsid w:val="00DC7A00"/>
    <w:rsid w:val="00DC7CD9"/>
    <w:rsid w:val="00DD08E7"/>
    <w:rsid w:val="00DD619A"/>
    <w:rsid w:val="00DD69B7"/>
    <w:rsid w:val="00DF026C"/>
    <w:rsid w:val="00E00743"/>
    <w:rsid w:val="00E05310"/>
    <w:rsid w:val="00E06342"/>
    <w:rsid w:val="00E10A91"/>
    <w:rsid w:val="00E118C5"/>
    <w:rsid w:val="00E20919"/>
    <w:rsid w:val="00E26790"/>
    <w:rsid w:val="00E315B2"/>
    <w:rsid w:val="00E36D51"/>
    <w:rsid w:val="00E50606"/>
    <w:rsid w:val="00E509FA"/>
    <w:rsid w:val="00E558AE"/>
    <w:rsid w:val="00E843FF"/>
    <w:rsid w:val="00E84B76"/>
    <w:rsid w:val="00E90542"/>
    <w:rsid w:val="00EA3568"/>
    <w:rsid w:val="00EB2AB7"/>
    <w:rsid w:val="00EB44A6"/>
    <w:rsid w:val="00EC59B7"/>
    <w:rsid w:val="00EF0AEC"/>
    <w:rsid w:val="00EF37B7"/>
    <w:rsid w:val="00F003DC"/>
    <w:rsid w:val="00F0670E"/>
    <w:rsid w:val="00F11665"/>
    <w:rsid w:val="00F12B12"/>
    <w:rsid w:val="00F12C0B"/>
    <w:rsid w:val="00F35D73"/>
    <w:rsid w:val="00F402BC"/>
    <w:rsid w:val="00F44D40"/>
    <w:rsid w:val="00F53673"/>
    <w:rsid w:val="00F60895"/>
    <w:rsid w:val="00F62B7E"/>
    <w:rsid w:val="00F72405"/>
    <w:rsid w:val="00F73CA6"/>
    <w:rsid w:val="00F76AD7"/>
    <w:rsid w:val="00F82AC3"/>
    <w:rsid w:val="00F82E60"/>
    <w:rsid w:val="00F86AF6"/>
    <w:rsid w:val="00F871C5"/>
    <w:rsid w:val="00F9012A"/>
    <w:rsid w:val="00F923E1"/>
    <w:rsid w:val="00F94183"/>
    <w:rsid w:val="00F9683D"/>
    <w:rsid w:val="00F97850"/>
    <w:rsid w:val="00FA1586"/>
    <w:rsid w:val="00FA1A09"/>
    <w:rsid w:val="00FA69C7"/>
    <w:rsid w:val="00FB122E"/>
    <w:rsid w:val="00FB326D"/>
    <w:rsid w:val="00FC4DCC"/>
    <w:rsid w:val="00FD2A82"/>
    <w:rsid w:val="00FD528C"/>
    <w:rsid w:val="00FE2A1A"/>
    <w:rsid w:val="00FE3D20"/>
    <w:rsid w:val="00FF4B81"/>
    <w:rsid w:val="00FF57BE"/>
    <w:rsid w:val="00FF7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B4ABFE"/>
  <w15:chartTrackingRefBased/>
  <w15:docId w15:val="{0C6575D7-6F34-4EAA-A0FE-787AAB1D1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MS Mincho" w:hAnsi="Times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toc 1" w:uiPriority="39"/>
    <w:lsdException w:name="toc 2" w:uiPriority="39"/>
    <w:lsdException w:name="toc 3" w:uiPriority="39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List Bullet" w:uiPriority="99"/>
    <w:lsdException w:name="Subtitle" w:qFormat="1"/>
    <w:lsdException w:name="Hyperlink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71ECA"/>
    <w:pPr>
      <w:widowControl w:val="0"/>
      <w:jc w:val="both"/>
    </w:pPr>
    <w:rPr>
      <w:rFonts w:ascii="Calibri Light" w:eastAsia="平成明朝" w:hAnsi="Calibri Light"/>
      <w:kern w:val="2"/>
      <w:sz w:val="22"/>
      <w:lang w:val="en-US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406B00"/>
    <w:pPr>
      <w:keepNext/>
      <w:widowControl/>
      <w:numPr>
        <w:numId w:val="1"/>
      </w:numPr>
      <w:spacing w:before="120"/>
      <w:jc w:val="left"/>
      <w:outlineLvl w:val="0"/>
    </w:pPr>
    <w:rPr>
      <w:rFonts w:asciiTheme="majorHAnsi" w:eastAsia="MS Mincho" w:hAnsiTheme="majorHAnsi" w:cs="Arial"/>
      <w:b/>
      <w:bCs/>
      <w:kern w:val="28"/>
      <w:sz w:val="24"/>
      <w:szCs w:val="24"/>
      <w:lang w:val="pt-BR" w:eastAsia="en-US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582EEF"/>
    <w:pPr>
      <w:keepNext/>
      <w:widowControl/>
      <w:numPr>
        <w:ilvl w:val="1"/>
        <w:numId w:val="1"/>
      </w:numPr>
      <w:spacing w:before="120" w:after="60"/>
      <w:ind w:left="578" w:hanging="578"/>
      <w:jc w:val="left"/>
      <w:outlineLvl w:val="1"/>
    </w:pPr>
    <w:rPr>
      <w:rFonts w:eastAsia="MS Mincho"/>
      <w:kern w:val="0"/>
      <w:lang w:val="en-GB" w:eastAsia="en-US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2F0869"/>
    <w:pPr>
      <w:numPr>
        <w:ilvl w:val="2"/>
        <w:numId w:val="1"/>
      </w:numPr>
      <w:tabs>
        <w:tab w:val="left" w:pos="567"/>
      </w:tabs>
      <w:spacing w:before="120" w:after="60"/>
      <w:ind w:left="851" w:hanging="567"/>
      <w:jc w:val="left"/>
      <w:outlineLvl w:val="2"/>
    </w:pPr>
    <w:rPr>
      <w:rFonts w:eastAsia="MS Mincho" w:cs="Arial"/>
      <w:bCs/>
      <w:kern w:val="0"/>
      <w:szCs w:val="26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86AF6"/>
    <w:pPr>
      <w:keepNext/>
      <w:widowControl/>
      <w:numPr>
        <w:ilvl w:val="3"/>
        <w:numId w:val="1"/>
      </w:numPr>
      <w:spacing w:before="60" w:after="60"/>
      <w:ind w:left="862" w:hanging="862"/>
      <w:jc w:val="left"/>
      <w:outlineLvl w:val="3"/>
    </w:pPr>
    <w:rPr>
      <w:rFonts w:eastAsia="MS Mincho"/>
      <w:bCs/>
      <w:kern w:val="0"/>
      <w:szCs w:val="28"/>
      <w:lang w:eastAsia="en-US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86AF6"/>
    <w:pPr>
      <w:widowControl/>
      <w:numPr>
        <w:ilvl w:val="4"/>
        <w:numId w:val="1"/>
      </w:numPr>
      <w:spacing w:before="240" w:after="60"/>
      <w:jc w:val="left"/>
      <w:outlineLvl w:val="4"/>
    </w:pPr>
    <w:rPr>
      <w:rFonts w:eastAsia="MS Mincho"/>
      <w:bCs/>
      <w:iCs/>
      <w:kern w:val="0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65B40"/>
    <w:pPr>
      <w:widowControl/>
      <w:numPr>
        <w:ilvl w:val="5"/>
        <w:numId w:val="1"/>
      </w:numPr>
      <w:spacing w:before="240" w:after="60"/>
      <w:jc w:val="left"/>
      <w:outlineLvl w:val="5"/>
    </w:pPr>
    <w:rPr>
      <w:rFonts w:ascii="Times New Roman" w:eastAsia="MS Mincho" w:hAnsi="Times New Roman"/>
      <w:b/>
      <w:bCs/>
      <w:kern w:val="0"/>
      <w:szCs w:val="22"/>
      <w:lang w:eastAsia="en-U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B65B40"/>
    <w:pPr>
      <w:widowControl/>
      <w:numPr>
        <w:ilvl w:val="6"/>
        <w:numId w:val="1"/>
      </w:numPr>
      <w:spacing w:before="240" w:after="60"/>
      <w:jc w:val="left"/>
      <w:outlineLvl w:val="6"/>
    </w:pPr>
    <w:rPr>
      <w:rFonts w:ascii="Times New Roman" w:eastAsia="MS Mincho" w:hAnsi="Times New Roman"/>
      <w:kern w:val="0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B65B40"/>
    <w:pPr>
      <w:widowControl/>
      <w:numPr>
        <w:ilvl w:val="7"/>
        <w:numId w:val="1"/>
      </w:numPr>
      <w:spacing w:before="240" w:after="60"/>
      <w:jc w:val="left"/>
      <w:outlineLvl w:val="7"/>
    </w:pPr>
    <w:rPr>
      <w:rFonts w:ascii="Times New Roman" w:eastAsia="MS Mincho" w:hAnsi="Times New Roman"/>
      <w:i/>
      <w:iCs/>
      <w:kern w:val="0"/>
      <w:szCs w:val="24"/>
      <w:lang w:eastAsia="en-US"/>
    </w:rPr>
  </w:style>
  <w:style w:type="paragraph" w:styleId="Heading9">
    <w:name w:val="heading 9"/>
    <w:basedOn w:val="Normal"/>
    <w:next w:val="Normal"/>
    <w:link w:val="Heading9Char"/>
    <w:uiPriority w:val="99"/>
    <w:qFormat/>
    <w:rsid w:val="00B65B40"/>
    <w:pPr>
      <w:widowControl/>
      <w:numPr>
        <w:ilvl w:val="8"/>
        <w:numId w:val="1"/>
      </w:numPr>
      <w:spacing w:before="240" w:after="60"/>
      <w:jc w:val="left"/>
      <w:outlineLvl w:val="8"/>
    </w:pPr>
    <w:rPr>
      <w:rFonts w:ascii="Arial" w:eastAsia="MS Mincho" w:hAnsi="Arial" w:cs="Arial"/>
      <w:kern w:val="0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返送先住所"/>
    <w:basedOn w:val="Normal"/>
    <w:pPr>
      <w:keepLines/>
      <w:framePr w:w="5040" w:hSpace="187" w:vSpace="187" w:wrap="notBeside" w:vAnchor="page" w:hAnchor="margin" w:y="966" w:anchorLock="1"/>
      <w:widowControl/>
      <w:spacing w:line="200" w:lineRule="atLeast"/>
    </w:pPr>
    <w:rPr>
      <w:rFonts w:ascii="Helvetica" w:eastAsia="平成角ゴシック" w:hAnsi="Helvetica"/>
      <w:spacing w:val="-2"/>
      <w:kern w:val="0"/>
      <w:sz w:val="18"/>
    </w:rPr>
  </w:style>
  <w:style w:type="paragraph" w:styleId="Header">
    <w:name w:val="header"/>
    <w:basedOn w:val="Normal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link w:val="FooterChar"/>
    <w:uiPriority w:val="99"/>
    <w:pPr>
      <w:tabs>
        <w:tab w:val="center" w:pos="4252"/>
        <w:tab w:val="right" w:pos="8504"/>
      </w:tabs>
      <w:snapToGrid w:val="0"/>
    </w:pPr>
  </w:style>
  <w:style w:type="paragraph" w:styleId="MessageHeader">
    <w:name w:val="Message Header"/>
    <w:basedOn w:val="BodyText"/>
    <w:pPr>
      <w:keepLines/>
      <w:widowControl/>
      <w:tabs>
        <w:tab w:val="left" w:pos="720"/>
        <w:tab w:val="left" w:pos="4320"/>
        <w:tab w:val="left" w:pos="5040"/>
        <w:tab w:val="right" w:pos="8640"/>
      </w:tabs>
      <w:spacing w:after="40" w:line="440" w:lineRule="atLeast"/>
      <w:ind w:left="720" w:hanging="720"/>
      <w:jc w:val="left"/>
    </w:pPr>
    <w:rPr>
      <w:rFonts w:ascii="Helvetica" w:eastAsia="平成角ゴシック" w:hAnsi="Helvetica"/>
      <w:spacing w:val="-5"/>
      <w:kern w:val="20"/>
      <w:sz w:val="20"/>
    </w:rPr>
  </w:style>
  <w:style w:type="paragraph" w:customStyle="1" w:styleId="a0">
    <w:name w:val="メッセージ見出し(開始)"/>
    <w:basedOn w:val="MessageHeader"/>
    <w:next w:val="MessageHeader"/>
  </w:style>
  <w:style w:type="character" w:customStyle="1" w:styleId="a1">
    <w:name w:val="メッセージ見出しラベル"/>
    <w:rPr>
      <w:noProof w:val="0"/>
      <w:spacing w:val="-10"/>
      <w:sz w:val="18"/>
      <w:lang w:val="en-US" w:eastAsia="ja-JP"/>
    </w:rPr>
  </w:style>
  <w:style w:type="paragraph" w:styleId="BodyText">
    <w:name w:val="Body Text"/>
    <w:basedOn w:val="Normal"/>
  </w:style>
  <w:style w:type="character" w:styleId="PageNumber">
    <w:name w:val="page number"/>
    <w:basedOn w:val="DefaultParagraphFont"/>
    <w:rsid w:val="004018FB"/>
  </w:style>
  <w:style w:type="character" w:customStyle="1" w:styleId="Heading1Char">
    <w:name w:val="Heading 1 Char"/>
    <w:basedOn w:val="DefaultParagraphFont"/>
    <w:link w:val="Heading1"/>
    <w:uiPriority w:val="99"/>
    <w:rsid w:val="00406B00"/>
    <w:rPr>
      <w:rFonts w:asciiTheme="majorHAnsi" w:hAnsiTheme="majorHAnsi" w:cs="Arial"/>
      <w:b/>
      <w:bCs/>
      <w:kern w:val="28"/>
      <w:sz w:val="24"/>
      <w:szCs w:val="24"/>
      <w:lang w:val="pt-BR" w:eastAsia="en-US"/>
    </w:rPr>
  </w:style>
  <w:style w:type="character" w:customStyle="1" w:styleId="Heading2Char">
    <w:name w:val="Heading 2 Char"/>
    <w:basedOn w:val="DefaultParagraphFont"/>
    <w:link w:val="Heading2"/>
    <w:uiPriority w:val="99"/>
    <w:rsid w:val="00582EEF"/>
    <w:rPr>
      <w:rFonts w:ascii="Calibri Light" w:hAnsi="Calibri Light"/>
      <w:sz w:val="22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rsid w:val="002F0869"/>
    <w:rPr>
      <w:rFonts w:ascii="Calibri Light" w:hAnsi="Calibri Light" w:cs="Arial"/>
      <w:bCs/>
      <w:sz w:val="22"/>
      <w:szCs w:val="26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9"/>
    <w:rsid w:val="00F86AF6"/>
    <w:rPr>
      <w:rFonts w:ascii="Calibri Light" w:hAnsi="Calibri Light"/>
      <w:bCs/>
      <w:sz w:val="22"/>
      <w:szCs w:val="28"/>
      <w:lang w:val="en-US" w:eastAsia="en-US"/>
    </w:rPr>
  </w:style>
  <w:style w:type="character" w:customStyle="1" w:styleId="Heading5Char">
    <w:name w:val="Heading 5 Char"/>
    <w:basedOn w:val="DefaultParagraphFont"/>
    <w:link w:val="Heading5"/>
    <w:uiPriority w:val="99"/>
    <w:rsid w:val="00F86AF6"/>
    <w:rPr>
      <w:rFonts w:ascii="Calibri Light" w:hAnsi="Calibri Light"/>
      <w:bCs/>
      <w:iCs/>
      <w:sz w:val="22"/>
      <w:szCs w:val="26"/>
      <w:lang w:val="en-US" w:eastAsia="en-US"/>
    </w:rPr>
  </w:style>
  <w:style w:type="character" w:customStyle="1" w:styleId="Heading6Char">
    <w:name w:val="Heading 6 Char"/>
    <w:basedOn w:val="DefaultParagraphFont"/>
    <w:link w:val="Heading6"/>
    <w:uiPriority w:val="99"/>
    <w:rsid w:val="00B65B40"/>
    <w:rPr>
      <w:rFonts w:ascii="Times New Roman" w:hAnsi="Times New Roman"/>
      <w:b/>
      <w:bCs/>
      <w:sz w:val="22"/>
      <w:szCs w:val="22"/>
      <w:lang w:val="en-US" w:eastAsia="en-US"/>
    </w:rPr>
  </w:style>
  <w:style w:type="character" w:customStyle="1" w:styleId="Heading7Char">
    <w:name w:val="Heading 7 Char"/>
    <w:basedOn w:val="DefaultParagraphFont"/>
    <w:link w:val="Heading7"/>
    <w:uiPriority w:val="99"/>
    <w:rsid w:val="00B65B40"/>
    <w:rPr>
      <w:rFonts w:ascii="Times New Roman" w:hAnsi="Times New Roman"/>
      <w:sz w:val="22"/>
      <w:szCs w:val="24"/>
      <w:lang w:val="en-US" w:eastAsia="en-US"/>
    </w:rPr>
  </w:style>
  <w:style w:type="character" w:customStyle="1" w:styleId="Heading8Char">
    <w:name w:val="Heading 8 Char"/>
    <w:basedOn w:val="DefaultParagraphFont"/>
    <w:link w:val="Heading8"/>
    <w:uiPriority w:val="99"/>
    <w:rsid w:val="00B65B40"/>
    <w:rPr>
      <w:rFonts w:ascii="Times New Roman" w:hAnsi="Times New Roman"/>
      <w:i/>
      <w:iCs/>
      <w:sz w:val="22"/>
      <w:szCs w:val="24"/>
      <w:lang w:val="en-US" w:eastAsia="en-US"/>
    </w:rPr>
  </w:style>
  <w:style w:type="character" w:customStyle="1" w:styleId="Heading9Char">
    <w:name w:val="Heading 9 Char"/>
    <w:basedOn w:val="DefaultParagraphFont"/>
    <w:link w:val="Heading9"/>
    <w:uiPriority w:val="99"/>
    <w:rsid w:val="00B65B40"/>
    <w:rPr>
      <w:rFonts w:ascii="Arial" w:hAnsi="Arial" w:cs="Arial"/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27342A"/>
    <w:pPr>
      <w:ind w:left="720"/>
      <w:contextualSpacing/>
    </w:pPr>
  </w:style>
  <w:style w:type="paragraph" w:customStyle="1" w:styleId="Style3">
    <w:name w:val="Style3"/>
    <w:basedOn w:val="ListBullet"/>
    <w:uiPriority w:val="99"/>
    <w:rsid w:val="007924F6"/>
    <w:pPr>
      <w:numPr>
        <w:ilvl w:val="2"/>
      </w:numPr>
      <w:tabs>
        <w:tab w:val="num" w:pos="180"/>
        <w:tab w:val="num" w:pos="900"/>
      </w:tabs>
      <w:ind w:left="900" w:hanging="720"/>
      <w:jc w:val="both"/>
    </w:pPr>
    <w:rPr>
      <w:rFonts w:ascii="Pompei Std Light" w:hAnsi="Pompei Std Light"/>
      <w:b/>
      <w:sz w:val="20"/>
      <w:lang w:eastAsia="ja-JP"/>
    </w:rPr>
  </w:style>
  <w:style w:type="paragraph" w:customStyle="1" w:styleId="StyleStyle3Left">
    <w:name w:val="Style Style3 + Left"/>
    <w:basedOn w:val="Style3"/>
    <w:uiPriority w:val="99"/>
    <w:rsid w:val="007924F6"/>
    <w:pPr>
      <w:tabs>
        <w:tab w:val="clear" w:pos="180"/>
        <w:tab w:val="clear" w:pos="900"/>
        <w:tab w:val="num" w:pos="1080"/>
      </w:tabs>
      <w:ind w:left="1080" w:hanging="360"/>
      <w:jc w:val="left"/>
    </w:pPr>
    <w:rPr>
      <w:b w:val="0"/>
      <w:bCs/>
    </w:rPr>
  </w:style>
  <w:style w:type="paragraph" w:styleId="ListBullet">
    <w:name w:val="List Bullet"/>
    <w:basedOn w:val="Normal"/>
    <w:uiPriority w:val="99"/>
    <w:rsid w:val="007924F6"/>
    <w:pPr>
      <w:widowControl/>
      <w:jc w:val="left"/>
    </w:pPr>
    <w:rPr>
      <w:rFonts w:ascii="CompatilFact LT Regular" w:eastAsia="MS Mincho" w:hAnsi="CompatilFact LT Regular"/>
      <w:kern w:val="0"/>
      <w:lang w:eastAsia="en-US"/>
    </w:rPr>
  </w:style>
  <w:style w:type="paragraph" w:styleId="NoSpacing">
    <w:name w:val="No Spacing"/>
    <w:link w:val="NoSpacingChar"/>
    <w:uiPriority w:val="1"/>
    <w:rsid w:val="00B5774F"/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B5774F"/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paragraph" w:customStyle="1" w:styleId="SystemDate">
    <w:name w:val="System Date"/>
    <w:basedOn w:val="Normal"/>
    <w:rsid w:val="00BC0AF6"/>
    <w:pPr>
      <w:widowControl/>
      <w:jc w:val="left"/>
    </w:pPr>
    <w:rPr>
      <w:rFonts w:ascii="Times New Roman" w:eastAsia="MS Mincho" w:hAnsi="Times New Roman"/>
      <w:kern w:val="0"/>
      <w:sz w:val="20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31423"/>
    <w:rPr>
      <w:rFonts w:ascii="Pompei Std Light" w:eastAsia="平成明朝" w:hAnsi="Pompei Std Light"/>
      <w:kern w:val="2"/>
      <w:sz w:val="22"/>
      <w:lang w:val="en-US"/>
    </w:rPr>
  </w:style>
  <w:style w:type="paragraph" w:styleId="Subtitle">
    <w:name w:val="Subtitle"/>
    <w:basedOn w:val="Normal"/>
    <w:link w:val="SubtitleChar1"/>
    <w:qFormat/>
    <w:rsid w:val="00331423"/>
    <w:pPr>
      <w:widowControl/>
      <w:spacing w:after="120" w:line="360" w:lineRule="auto"/>
    </w:pPr>
    <w:rPr>
      <w:rFonts w:ascii="Times New Roman" w:eastAsia="Times New Roman" w:hAnsi="Times New Roman"/>
      <w:kern w:val="0"/>
      <w:sz w:val="24"/>
      <w:szCs w:val="24"/>
      <w:lang w:val="pt-PT" w:eastAsia="en-US"/>
    </w:rPr>
  </w:style>
  <w:style w:type="character" w:customStyle="1" w:styleId="SubtitleChar">
    <w:name w:val="Subtitle Char"/>
    <w:basedOn w:val="DefaultParagraphFont"/>
    <w:rsid w:val="00331423"/>
    <w:rPr>
      <w:rFonts w:asciiTheme="minorHAnsi" w:eastAsiaTheme="minorEastAsia" w:hAnsiTheme="minorHAnsi" w:cstheme="minorBidi"/>
      <w:color w:val="5A5A5A" w:themeColor="text1" w:themeTint="A5"/>
      <w:spacing w:val="15"/>
      <w:kern w:val="2"/>
      <w:sz w:val="22"/>
      <w:szCs w:val="22"/>
      <w:lang w:val="en-US"/>
    </w:rPr>
  </w:style>
  <w:style w:type="character" w:customStyle="1" w:styleId="SubtitleChar1">
    <w:name w:val="Subtitle Char1"/>
    <w:link w:val="Subtitle"/>
    <w:rsid w:val="00331423"/>
    <w:rPr>
      <w:rFonts w:ascii="Times New Roman" w:eastAsia="Times New Roman" w:hAnsi="Times New Roman"/>
      <w:sz w:val="24"/>
      <w:szCs w:val="24"/>
      <w:lang w:val="pt-PT" w:eastAsia="en-US"/>
    </w:rPr>
  </w:style>
  <w:style w:type="paragraph" w:styleId="BalloonText">
    <w:name w:val="Balloon Text"/>
    <w:basedOn w:val="Normal"/>
    <w:link w:val="BalloonTextChar"/>
    <w:rsid w:val="0094279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942796"/>
    <w:rPr>
      <w:rFonts w:ascii="Segoe UI" w:eastAsia="平成明朝" w:hAnsi="Segoe UI" w:cs="Segoe UI"/>
      <w:kern w:val="2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893D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CB760C"/>
    <w:pPr>
      <w:keepLines/>
      <w:numPr>
        <w:numId w:val="0"/>
      </w:numPr>
      <w:spacing w:before="240" w:line="259" w:lineRule="auto"/>
      <w:outlineLvl w:val="9"/>
    </w:pPr>
    <w:rPr>
      <w:rFonts w:eastAsiaTheme="majorEastAsia" w:cstheme="majorBidi"/>
      <w:b w:val="0"/>
      <w:bCs w:val="0"/>
      <w:color w:val="2E74B5" w:themeColor="accent1" w:themeShade="BF"/>
      <w:kern w:val="0"/>
      <w:sz w:val="32"/>
      <w:szCs w:val="32"/>
    </w:rPr>
  </w:style>
  <w:style w:type="paragraph" w:styleId="TOC1">
    <w:name w:val="toc 1"/>
    <w:basedOn w:val="Normal"/>
    <w:next w:val="Normal"/>
    <w:autoRedefine/>
    <w:uiPriority w:val="39"/>
    <w:rsid w:val="001E73FF"/>
    <w:pPr>
      <w:tabs>
        <w:tab w:val="left" w:pos="440"/>
        <w:tab w:val="right" w:leader="dot" w:pos="9741"/>
      </w:tabs>
      <w:spacing w:after="100"/>
    </w:pPr>
  </w:style>
  <w:style w:type="paragraph" w:styleId="TOC2">
    <w:name w:val="toc 2"/>
    <w:basedOn w:val="Normal"/>
    <w:next w:val="Normal"/>
    <w:autoRedefine/>
    <w:uiPriority w:val="39"/>
    <w:rsid w:val="00CB760C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CB760C"/>
    <w:rPr>
      <w:color w:val="0563C1" w:themeColor="hyperlink"/>
      <w:u w:val="single"/>
    </w:rPr>
  </w:style>
  <w:style w:type="paragraph" w:customStyle="1" w:styleId="Style2">
    <w:name w:val="Style 2"/>
    <w:basedOn w:val="Heading2"/>
    <w:uiPriority w:val="99"/>
    <w:rsid w:val="001C2711"/>
    <w:pPr>
      <w:numPr>
        <w:numId w:val="2"/>
      </w:numPr>
      <w:spacing w:before="240"/>
      <w:jc w:val="both"/>
    </w:pPr>
    <w:rPr>
      <w:rFonts w:ascii="Pompei Std Light" w:hAnsi="Pompei Std Light" w:cs="Arial"/>
      <w:b/>
      <w:bCs/>
      <w:iCs/>
      <w:sz w:val="20"/>
      <w:lang w:val="en-US" w:eastAsia="ja-JP"/>
    </w:rPr>
  </w:style>
  <w:style w:type="character" w:styleId="CommentReference">
    <w:name w:val="annotation reference"/>
    <w:basedOn w:val="DefaultParagraphFont"/>
    <w:rsid w:val="00FD52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FD528C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FD528C"/>
    <w:rPr>
      <w:rFonts w:ascii="Calibri Light" w:eastAsia="平成明朝" w:hAnsi="Calibri Light"/>
      <w:kern w:val="2"/>
      <w:lang w:val="en-US"/>
    </w:rPr>
  </w:style>
  <w:style w:type="paragraph" w:styleId="CommentSubject">
    <w:name w:val="annotation subject"/>
    <w:basedOn w:val="CommentText"/>
    <w:next w:val="CommentText"/>
    <w:link w:val="CommentSubjectChar"/>
    <w:rsid w:val="00FD52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D528C"/>
    <w:rPr>
      <w:rFonts w:ascii="Calibri Light" w:eastAsia="平成明朝" w:hAnsi="Calibri Light"/>
      <w:b/>
      <w:bCs/>
      <w:kern w:val="2"/>
      <w:lang w:val="en-US"/>
    </w:rPr>
  </w:style>
  <w:style w:type="paragraph" w:customStyle="1" w:styleId="style1">
    <w:name w:val="style1"/>
    <w:basedOn w:val="Normal"/>
    <w:rsid w:val="00D83873"/>
    <w:pPr>
      <w:tabs>
        <w:tab w:val="num" w:pos="312"/>
      </w:tabs>
      <w:spacing w:before="240" w:after="120"/>
      <w:ind w:left="312" w:hanging="312"/>
    </w:pPr>
    <w:rPr>
      <w:rFonts w:ascii="Times New Roman" w:eastAsia="MS Mincho" w:hAnsi="Times New Roman"/>
      <w:szCs w:val="24"/>
    </w:rPr>
  </w:style>
  <w:style w:type="paragraph" w:styleId="FootnoteText">
    <w:name w:val="footnote text"/>
    <w:basedOn w:val="Normal"/>
    <w:link w:val="FootnoteTextChar"/>
    <w:uiPriority w:val="99"/>
    <w:rsid w:val="00D83873"/>
    <w:pPr>
      <w:widowControl/>
      <w:jc w:val="left"/>
    </w:pPr>
    <w:rPr>
      <w:rFonts w:ascii="Times New Roman" w:eastAsia="MS Mincho" w:hAnsi="Times New Roman"/>
      <w:kern w:val="0"/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83873"/>
    <w:rPr>
      <w:rFonts w:ascii="Times New Roman" w:hAnsi="Times New Roman"/>
      <w:lang w:val="en-US"/>
    </w:rPr>
  </w:style>
  <w:style w:type="character" w:styleId="FootnoteReference">
    <w:name w:val="footnote reference"/>
    <w:basedOn w:val="DefaultParagraphFont"/>
    <w:uiPriority w:val="99"/>
    <w:rsid w:val="00D83873"/>
    <w:rPr>
      <w:vertAlign w:val="superscript"/>
    </w:rPr>
  </w:style>
  <w:style w:type="paragraph" w:styleId="TOC3">
    <w:name w:val="toc 3"/>
    <w:basedOn w:val="Normal"/>
    <w:next w:val="Normal"/>
    <w:autoRedefine/>
    <w:uiPriority w:val="39"/>
    <w:rsid w:val="0074670E"/>
    <w:pPr>
      <w:spacing w:after="100"/>
      <w:ind w:left="440"/>
    </w:pPr>
  </w:style>
  <w:style w:type="paragraph" w:styleId="BodyTextIndent">
    <w:name w:val="Body Text Indent"/>
    <w:basedOn w:val="Normal"/>
    <w:link w:val="BodyTextIndentChar"/>
    <w:rsid w:val="002F0869"/>
    <w:pPr>
      <w:widowControl/>
      <w:spacing w:after="120"/>
      <w:ind w:left="283"/>
      <w:jc w:val="left"/>
    </w:pPr>
    <w:rPr>
      <w:rFonts w:ascii="Times New Roman" w:eastAsia="MS Mincho" w:hAnsi="Times New Roman"/>
      <w:kern w:val="0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2F0869"/>
    <w:rPr>
      <w:rFonts w:ascii="Times New Roman" w:hAnsi="Times New Roman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74146F"/>
    <w:rPr>
      <w:rFonts w:ascii="Calibri Light" w:eastAsia="平成明朝" w:hAnsi="Calibri Light"/>
      <w:kern w:val="2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44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izuho%20-%20Identidade%20Visual\VIS%20ApplicationData_2005.9\Template\Word\Letter\English\Wrd_Letter_BS_E_MC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397C9A-47C6-49E0-81EB-D297EAC30B0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b79a3690-0ae1-43d9-9df8-82beb98f39bd}" enabled="1" method="Standard" siteId="{539e8ab5-5bfa-44c8-b872-3dc8d1a124f8}" contentBits="1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Wrd_Letter_BS_E_MCB</Template>
  <TotalTime>14</TotalTime>
  <Pages>2</Pages>
  <Words>663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stautl</dc:creator>
  <cp:keywords/>
  <cp:lastModifiedBy>Schiller, William</cp:lastModifiedBy>
  <cp:revision>3</cp:revision>
  <cp:lastPrinted>2021-10-21T20:42:00Z</cp:lastPrinted>
  <dcterms:created xsi:type="dcterms:W3CDTF">2025-10-17T17:48:00Z</dcterms:created>
  <dcterms:modified xsi:type="dcterms:W3CDTF">2025-10-17T18:09:00Z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e9168ca6-cc69-46b3-b68f-e0fae94cced2</vt:lpwstr>
  </property>
  <property fmtid="{D5CDD505-2E9C-101B-9397-08002B2CF9AE}" pid="3" name="_NewReviewCycle">
    <vt:lpwstr/>
  </property>
  <property fmtid="{D5CDD505-2E9C-101B-9397-08002B2CF9AE}" pid="4" name="Classification">
    <vt:lpwstr>t_class_2</vt:lpwstr>
  </property>
  <property fmtid="{D5CDD505-2E9C-101B-9397-08002B2CF9AE}" pid="5" name="ClassificationContentMarkingHeaderShapeIds">
    <vt:lpwstr>273e1a2b,6abe90da,dc0f8e3</vt:lpwstr>
  </property>
  <property fmtid="{D5CDD505-2E9C-101B-9397-08002B2CF9AE}" pid="6" name="ClassificationContentMarkingHeaderFontProps">
    <vt:lpwstr>#ff0000,10,Aptos</vt:lpwstr>
  </property>
  <property fmtid="{D5CDD505-2E9C-101B-9397-08002B2CF9AE}" pid="7" name="ClassificationContentMarkingHeaderText">
    <vt:lpwstr> Confidential (MB) </vt:lpwstr>
  </property>
</Properties>
</file>